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0" w:type="auto"/>
        <w:tblLook w:val="0000" w:firstRow="0" w:lastRow="0" w:firstColumn="0" w:lastColumn="0" w:noHBand="0" w:noVBand="0"/>
      </w:tblPr>
      <w:tblGrid>
        <w:gridCol w:w="3456"/>
        <w:gridCol w:w="5054"/>
        <w:gridCol w:w="15"/>
      </w:tblGrid>
      <w:tr w:rsidR="00C119A2" w:rsidRPr="007D7E0B" w14:paraId="7859B2B8" w14:textId="77777777" w:rsidTr="00AD6D80">
        <w:tc>
          <w:tcPr>
            <w:tcW w:w="8525" w:type="dxa"/>
            <w:gridSpan w:val="3"/>
            <w:tcBorders>
              <w:bottom w:val="single" w:sz="18" w:space="0" w:color="auto"/>
            </w:tcBorders>
          </w:tcPr>
          <w:p w14:paraId="38653572" w14:textId="77777777" w:rsidR="00C119A2" w:rsidRDefault="00C119A2" w:rsidP="00FD61BA">
            <w:pPr>
              <w:pStyle w:val="Infotext"/>
              <w:jc w:val="both"/>
              <w:rPr>
                <w:rFonts w:ascii="Arial Black" w:hAnsi="Arial Black"/>
                <w:color w:val="999999"/>
                <w:sz w:val="36"/>
                <w:szCs w:val="36"/>
              </w:rPr>
            </w:pPr>
          </w:p>
          <w:p w14:paraId="1DC031C1" w14:textId="77777777" w:rsidR="00C119A2" w:rsidRDefault="00564C18" w:rsidP="00FD61BA">
            <w:pPr>
              <w:pStyle w:val="Infotext"/>
              <w:jc w:val="both"/>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60231379" wp14:editId="3CAEF1EF">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71417CB2" w14:textId="66854F44" w:rsidR="00C119A2" w:rsidRPr="0038503F" w:rsidRDefault="00C119A2" w:rsidP="00AD529B">
            <w:pPr>
              <w:pStyle w:val="Infotext"/>
              <w:jc w:val="right"/>
              <w:rPr>
                <w:rFonts w:ascii="Arial Black" w:hAnsi="Arial Black" w:cs="Arial"/>
                <w:sz w:val="18"/>
                <w:szCs w:val="36"/>
              </w:rPr>
            </w:pPr>
          </w:p>
        </w:tc>
      </w:tr>
      <w:tr w:rsidR="00333FAA" w14:paraId="5D3F756A" w14:textId="77777777">
        <w:trPr>
          <w:gridAfter w:val="1"/>
          <w:wAfter w:w="15" w:type="dxa"/>
        </w:trPr>
        <w:tc>
          <w:tcPr>
            <w:tcW w:w="3456" w:type="dxa"/>
            <w:tcBorders>
              <w:bottom w:val="single" w:sz="18" w:space="0" w:color="auto"/>
            </w:tcBorders>
          </w:tcPr>
          <w:p w14:paraId="242A3901" w14:textId="77777777" w:rsidR="00581FC8" w:rsidRDefault="00581FC8" w:rsidP="00FD61BA">
            <w:pPr>
              <w:pStyle w:val="Infotext"/>
              <w:jc w:val="both"/>
              <w:rPr>
                <w:rFonts w:ascii="Arial Black" w:hAnsi="Arial Black"/>
                <w:color w:val="999999"/>
                <w:sz w:val="36"/>
                <w:szCs w:val="36"/>
              </w:rPr>
            </w:pPr>
          </w:p>
          <w:p w14:paraId="02D98E18" w14:textId="77777777" w:rsidR="00333FAA" w:rsidRPr="00B805DB" w:rsidRDefault="00333FAA" w:rsidP="00FD61BA">
            <w:pPr>
              <w:pStyle w:val="Infotext"/>
              <w:jc w:val="both"/>
              <w:rPr>
                <w:rFonts w:ascii="Arial Black" w:hAnsi="Arial Black"/>
                <w:color w:val="999999"/>
                <w:sz w:val="36"/>
                <w:szCs w:val="36"/>
              </w:rPr>
            </w:pPr>
            <w:r w:rsidRPr="00B805DB">
              <w:rPr>
                <w:rFonts w:ascii="Arial Black" w:hAnsi="Arial Black"/>
                <w:color w:val="999999"/>
                <w:sz w:val="36"/>
                <w:szCs w:val="36"/>
              </w:rPr>
              <w:t>REPORT FOR:</w:t>
            </w:r>
          </w:p>
          <w:p w14:paraId="6F2CE111" w14:textId="77777777" w:rsidR="00333FAA" w:rsidRPr="00B805DB" w:rsidRDefault="00333FAA" w:rsidP="00FD61BA">
            <w:pPr>
              <w:pStyle w:val="Infotext"/>
              <w:jc w:val="both"/>
              <w:rPr>
                <w:rFonts w:ascii="Arial Black" w:hAnsi="Arial Black" w:cs="Arial"/>
                <w:sz w:val="36"/>
                <w:szCs w:val="36"/>
              </w:rPr>
            </w:pPr>
          </w:p>
        </w:tc>
        <w:tc>
          <w:tcPr>
            <w:tcW w:w="5054" w:type="dxa"/>
            <w:tcBorders>
              <w:bottom w:val="single" w:sz="18" w:space="0" w:color="auto"/>
            </w:tcBorders>
          </w:tcPr>
          <w:p w14:paraId="27C34BC8" w14:textId="77777777" w:rsidR="00563282" w:rsidRDefault="00563282" w:rsidP="00FD61BA">
            <w:pPr>
              <w:jc w:val="both"/>
              <w:rPr>
                <w:rFonts w:ascii="Arial Black" w:hAnsi="Arial Black" w:cs="Arial"/>
                <w:sz w:val="36"/>
                <w:szCs w:val="36"/>
              </w:rPr>
            </w:pPr>
          </w:p>
          <w:p w14:paraId="0A3EF2C7" w14:textId="77777777" w:rsidR="00333FAA" w:rsidRPr="005E3A10" w:rsidRDefault="00333FAA" w:rsidP="00FD61BA">
            <w:pPr>
              <w:jc w:val="both"/>
              <w:rPr>
                <w:rFonts w:ascii="Arial Black" w:hAnsi="Arial Black" w:cs="Arial"/>
                <w:sz w:val="36"/>
                <w:szCs w:val="36"/>
              </w:rPr>
            </w:pPr>
            <w:r w:rsidRPr="005E3A10">
              <w:rPr>
                <w:rFonts w:ascii="Arial Black" w:hAnsi="Arial Black" w:cs="Arial"/>
                <w:sz w:val="36"/>
                <w:szCs w:val="36"/>
              </w:rPr>
              <w:t>CABINET</w:t>
            </w:r>
          </w:p>
          <w:p w14:paraId="2BF47BD5" w14:textId="77777777" w:rsidR="00333FAA" w:rsidRPr="005E3A10" w:rsidRDefault="00333FAA" w:rsidP="00FD61BA">
            <w:pPr>
              <w:jc w:val="both"/>
              <w:rPr>
                <w:rFonts w:ascii="Arial Black" w:hAnsi="Arial Black" w:cs="Arial"/>
                <w:szCs w:val="24"/>
              </w:rPr>
            </w:pPr>
          </w:p>
        </w:tc>
      </w:tr>
      <w:tr w:rsidR="002D14F9" w14:paraId="15F22E53" w14:textId="77777777">
        <w:trPr>
          <w:gridAfter w:val="1"/>
          <w:wAfter w:w="15" w:type="dxa"/>
        </w:trPr>
        <w:tc>
          <w:tcPr>
            <w:tcW w:w="3456" w:type="dxa"/>
            <w:tcBorders>
              <w:top w:val="single" w:sz="18" w:space="0" w:color="auto"/>
            </w:tcBorders>
          </w:tcPr>
          <w:p w14:paraId="668857F2" w14:textId="77777777" w:rsidR="002D14F9" w:rsidRPr="00C13A5F" w:rsidRDefault="002D14F9" w:rsidP="00FD61BA">
            <w:pPr>
              <w:pStyle w:val="Infotext"/>
              <w:jc w:val="both"/>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17A2C319" w14:textId="77777777" w:rsidR="002D14F9" w:rsidRPr="00C13A5F" w:rsidRDefault="002D14F9" w:rsidP="00FD61BA">
            <w:pPr>
              <w:pStyle w:val="Infotext"/>
              <w:jc w:val="both"/>
              <w:rPr>
                <w:rFonts w:ascii="Arial Black" w:hAnsi="Arial Black" w:cs="Arial"/>
              </w:rPr>
            </w:pPr>
          </w:p>
        </w:tc>
        <w:tc>
          <w:tcPr>
            <w:tcW w:w="5054" w:type="dxa"/>
            <w:tcBorders>
              <w:top w:val="single" w:sz="18" w:space="0" w:color="auto"/>
            </w:tcBorders>
          </w:tcPr>
          <w:p w14:paraId="5A2343F0" w14:textId="77777777" w:rsidR="002D14F9" w:rsidRPr="0025451F" w:rsidRDefault="00EF6736" w:rsidP="00FD61BA">
            <w:pPr>
              <w:jc w:val="both"/>
              <w:rPr>
                <w:rFonts w:cs="Arial"/>
                <w:szCs w:val="24"/>
              </w:rPr>
            </w:pPr>
            <w:r w:rsidRPr="0025451F">
              <w:rPr>
                <w:rFonts w:cs="Arial"/>
                <w:szCs w:val="24"/>
              </w:rPr>
              <w:t>9 July</w:t>
            </w:r>
            <w:r w:rsidR="00F24A69" w:rsidRPr="0025451F">
              <w:rPr>
                <w:rFonts w:cs="Arial"/>
                <w:szCs w:val="24"/>
              </w:rPr>
              <w:t xml:space="preserve"> 2020</w:t>
            </w:r>
          </w:p>
        </w:tc>
      </w:tr>
      <w:tr w:rsidR="002D14F9" w14:paraId="52487868" w14:textId="77777777">
        <w:trPr>
          <w:gridAfter w:val="1"/>
          <w:wAfter w:w="15" w:type="dxa"/>
        </w:trPr>
        <w:tc>
          <w:tcPr>
            <w:tcW w:w="3456" w:type="dxa"/>
          </w:tcPr>
          <w:p w14:paraId="06E7DB5B" w14:textId="77777777" w:rsidR="002D14F9" w:rsidRPr="00C13A5F" w:rsidRDefault="002D14F9" w:rsidP="00FD61BA">
            <w:pPr>
              <w:pStyle w:val="Infotext"/>
              <w:jc w:val="both"/>
              <w:rPr>
                <w:rFonts w:ascii="Arial Black" w:hAnsi="Arial Black" w:cs="Arial"/>
              </w:rPr>
            </w:pPr>
            <w:r w:rsidRPr="00C13A5F">
              <w:rPr>
                <w:rFonts w:ascii="Arial Black" w:hAnsi="Arial Black" w:cs="Arial"/>
              </w:rPr>
              <w:t>Subject:</w:t>
            </w:r>
          </w:p>
          <w:p w14:paraId="07D6E430" w14:textId="77777777" w:rsidR="002D14F9" w:rsidRPr="00C13A5F" w:rsidRDefault="002D14F9" w:rsidP="00FD61BA">
            <w:pPr>
              <w:pStyle w:val="Infotext"/>
              <w:jc w:val="both"/>
              <w:rPr>
                <w:rFonts w:ascii="Arial Black" w:hAnsi="Arial Black"/>
              </w:rPr>
            </w:pPr>
          </w:p>
        </w:tc>
        <w:tc>
          <w:tcPr>
            <w:tcW w:w="5054" w:type="dxa"/>
          </w:tcPr>
          <w:p w14:paraId="59FCCCC5" w14:textId="77777777" w:rsidR="002D14F9" w:rsidRPr="00765CCB" w:rsidRDefault="002D14F9" w:rsidP="00FD61BA">
            <w:pPr>
              <w:jc w:val="both"/>
              <w:rPr>
                <w:rFonts w:cs="Arial"/>
                <w:szCs w:val="24"/>
              </w:rPr>
            </w:pPr>
            <w:r w:rsidRPr="00911DFA">
              <w:rPr>
                <w:rFonts w:cs="Arial"/>
              </w:rPr>
              <w:t xml:space="preserve">Regeneration Programme Update </w:t>
            </w:r>
            <w:r>
              <w:rPr>
                <w:rFonts w:cs="Arial"/>
              </w:rPr>
              <w:t xml:space="preserve">- </w:t>
            </w:r>
            <w:r w:rsidRPr="00765CCB">
              <w:rPr>
                <w:rFonts w:cs="Arial"/>
              </w:rPr>
              <w:t>Building a Better Harrow</w:t>
            </w:r>
          </w:p>
        </w:tc>
      </w:tr>
      <w:tr w:rsidR="002D14F9" w14:paraId="3DCC2007" w14:textId="77777777">
        <w:trPr>
          <w:gridAfter w:val="1"/>
          <w:wAfter w:w="15" w:type="dxa"/>
        </w:trPr>
        <w:tc>
          <w:tcPr>
            <w:tcW w:w="3456" w:type="dxa"/>
          </w:tcPr>
          <w:p w14:paraId="41401BA0" w14:textId="77777777" w:rsidR="002D14F9" w:rsidRPr="00C13A5F" w:rsidRDefault="002D14F9" w:rsidP="00FD61BA">
            <w:pPr>
              <w:pStyle w:val="Infotext"/>
              <w:jc w:val="both"/>
              <w:rPr>
                <w:rFonts w:ascii="Arial Black" w:hAnsi="Arial Black" w:cs="Arial"/>
              </w:rPr>
            </w:pPr>
            <w:r w:rsidRPr="00C13A5F">
              <w:rPr>
                <w:rFonts w:ascii="Arial Black" w:hAnsi="Arial Black" w:cs="Arial"/>
              </w:rPr>
              <w:t xml:space="preserve">Key Decision: </w:t>
            </w:r>
          </w:p>
          <w:p w14:paraId="5370ADE7" w14:textId="77777777" w:rsidR="002D14F9" w:rsidRPr="00C13A5F" w:rsidRDefault="002D14F9" w:rsidP="00FD61BA">
            <w:pPr>
              <w:pStyle w:val="Infotext"/>
              <w:jc w:val="both"/>
              <w:rPr>
                <w:rFonts w:ascii="Arial Black" w:hAnsi="Arial Black" w:cs="Arial"/>
              </w:rPr>
            </w:pPr>
          </w:p>
        </w:tc>
        <w:tc>
          <w:tcPr>
            <w:tcW w:w="5054" w:type="dxa"/>
          </w:tcPr>
          <w:p w14:paraId="24CC5C86" w14:textId="77777777" w:rsidR="002D14F9" w:rsidRPr="00611821" w:rsidRDefault="002D14F9" w:rsidP="00FD61BA">
            <w:pPr>
              <w:pStyle w:val="Infotext"/>
              <w:jc w:val="both"/>
              <w:rPr>
                <w:rFonts w:cs="Arial"/>
                <w:color w:val="000000"/>
                <w:sz w:val="24"/>
                <w:szCs w:val="24"/>
              </w:rPr>
            </w:pPr>
            <w:r>
              <w:rPr>
                <w:rFonts w:cs="Arial"/>
                <w:color w:val="000000"/>
                <w:sz w:val="24"/>
                <w:szCs w:val="24"/>
              </w:rPr>
              <w:t>No</w:t>
            </w:r>
          </w:p>
          <w:p w14:paraId="4F063FD8" w14:textId="77777777" w:rsidR="002D14F9" w:rsidRPr="00611821" w:rsidRDefault="002D14F9" w:rsidP="00FD61BA">
            <w:pPr>
              <w:pStyle w:val="Infotext"/>
              <w:jc w:val="both"/>
              <w:rPr>
                <w:rFonts w:cs="Arial"/>
                <w:color w:val="000000"/>
                <w:sz w:val="24"/>
                <w:szCs w:val="24"/>
              </w:rPr>
            </w:pPr>
          </w:p>
        </w:tc>
      </w:tr>
      <w:tr w:rsidR="002D14F9" w14:paraId="79182CB0" w14:textId="77777777">
        <w:trPr>
          <w:gridAfter w:val="1"/>
          <w:wAfter w:w="15" w:type="dxa"/>
        </w:trPr>
        <w:tc>
          <w:tcPr>
            <w:tcW w:w="3456" w:type="dxa"/>
          </w:tcPr>
          <w:p w14:paraId="5AF58F39" w14:textId="77777777" w:rsidR="002D14F9" w:rsidRPr="00C13A5F" w:rsidRDefault="002D14F9" w:rsidP="00FD61BA">
            <w:pPr>
              <w:pStyle w:val="Infotext"/>
              <w:jc w:val="both"/>
              <w:rPr>
                <w:rFonts w:ascii="Arial Black" w:hAnsi="Arial Black" w:cs="Arial"/>
              </w:rPr>
            </w:pPr>
            <w:r w:rsidRPr="00C13A5F">
              <w:rPr>
                <w:rFonts w:ascii="Arial Black" w:hAnsi="Arial Black" w:cs="Arial"/>
              </w:rPr>
              <w:t>Responsible Officer:</w:t>
            </w:r>
          </w:p>
          <w:p w14:paraId="19846004" w14:textId="77777777" w:rsidR="002D14F9" w:rsidRPr="00C13A5F" w:rsidRDefault="002D14F9" w:rsidP="00FD61BA">
            <w:pPr>
              <w:pStyle w:val="Infotext"/>
              <w:jc w:val="both"/>
              <w:rPr>
                <w:rFonts w:ascii="Arial Black" w:hAnsi="Arial Black" w:cs="Arial"/>
              </w:rPr>
            </w:pPr>
          </w:p>
        </w:tc>
        <w:tc>
          <w:tcPr>
            <w:tcW w:w="5054" w:type="dxa"/>
          </w:tcPr>
          <w:p w14:paraId="4DE86371" w14:textId="3B4794A8" w:rsidR="002D14F9" w:rsidRPr="005E3A10" w:rsidRDefault="002D14F9" w:rsidP="00FD61BA">
            <w:pPr>
              <w:pStyle w:val="Infotext"/>
              <w:jc w:val="both"/>
              <w:rPr>
                <w:rFonts w:cs="Arial"/>
                <w:sz w:val="24"/>
                <w:szCs w:val="24"/>
              </w:rPr>
            </w:pPr>
            <w:r>
              <w:rPr>
                <w:rFonts w:cs="Arial"/>
                <w:sz w:val="24"/>
                <w:szCs w:val="24"/>
              </w:rPr>
              <w:t xml:space="preserve">Paul Walker </w:t>
            </w:r>
            <w:r w:rsidR="001855EC">
              <w:rPr>
                <w:rFonts w:cs="Arial"/>
                <w:sz w:val="24"/>
                <w:szCs w:val="24"/>
              </w:rPr>
              <w:t xml:space="preserve">- </w:t>
            </w:r>
            <w:r>
              <w:rPr>
                <w:rFonts w:cs="Arial"/>
                <w:sz w:val="24"/>
                <w:szCs w:val="24"/>
              </w:rPr>
              <w:t>Corporate Director, Community</w:t>
            </w:r>
          </w:p>
          <w:p w14:paraId="673BB83F" w14:textId="77777777" w:rsidR="002D14F9" w:rsidRPr="005E3A10" w:rsidRDefault="002D14F9" w:rsidP="00FD61BA">
            <w:pPr>
              <w:pStyle w:val="Infotext"/>
              <w:jc w:val="both"/>
              <w:rPr>
                <w:rFonts w:cs="Arial"/>
                <w:sz w:val="24"/>
                <w:szCs w:val="24"/>
              </w:rPr>
            </w:pPr>
          </w:p>
        </w:tc>
      </w:tr>
      <w:tr w:rsidR="002D14F9" w14:paraId="2A2D8658" w14:textId="77777777">
        <w:trPr>
          <w:gridAfter w:val="1"/>
          <w:wAfter w:w="15" w:type="dxa"/>
        </w:trPr>
        <w:tc>
          <w:tcPr>
            <w:tcW w:w="3456" w:type="dxa"/>
          </w:tcPr>
          <w:p w14:paraId="2F775A0B" w14:textId="77777777" w:rsidR="002D14F9" w:rsidRPr="00DB6C3D" w:rsidRDefault="002D14F9" w:rsidP="00FD61BA">
            <w:pPr>
              <w:pStyle w:val="Infotext"/>
              <w:jc w:val="both"/>
              <w:rPr>
                <w:rFonts w:ascii="Arial Black" w:hAnsi="Arial Black"/>
              </w:rPr>
            </w:pPr>
            <w:r w:rsidRPr="00DB6C3D">
              <w:rPr>
                <w:rFonts w:ascii="Arial Black" w:hAnsi="Arial Black"/>
              </w:rPr>
              <w:t>Portfolio Holder:</w:t>
            </w:r>
          </w:p>
          <w:p w14:paraId="10C62673" w14:textId="77777777" w:rsidR="002D14F9" w:rsidRPr="00C13A5F" w:rsidRDefault="002D14F9" w:rsidP="00FD61BA">
            <w:pPr>
              <w:pStyle w:val="BodyText"/>
              <w:jc w:val="both"/>
              <w:rPr>
                <w:rFonts w:ascii="Arial Black" w:hAnsi="Arial Black"/>
              </w:rPr>
            </w:pPr>
          </w:p>
        </w:tc>
        <w:tc>
          <w:tcPr>
            <w:tcW w:w="5054" w:type="dxa"/>
          </w:tcPr>
          <w:p w14:paraId="3717CC84" w14:textId="44E0F4B5" w:rsidR="002D14F9" w:rsidRDefault="002D14F9" w:rsidP="00FD61BA">
            <w:pPr>
              <w:pStyle w:val="Infotext"/>
              <w:jc w:val="both"/>
              <w:rPr>
                <w:rFonts w:cs="Arial"/>
                <w:sz w:val="24"/>
                <w:szCs w:val="24"/>
              </w:rPr>
            </w:pPr>
            <w:r w:rsidRPr="00AA7494">
              <w:rPr>
                <w:rFonts w:cs="Arial"/>
                <w:sz w:val="24"/>
                <w:szCs w:val="24"/>
              </w:rPr>
              <w:t xml:space="preserve">Cllr Keith Ferry, Deputy Leader and Portfolio Holder for </w:t>
            </w:r>
            <w:r w:rsidR="001855EC" w:rsidRPr="001855EC">
              <w:rPr>
                <w:rFonts w:cs="Arial"/>
                <w:sz w:val="24"/>
                <w:szCs w:val="24"/>
              </w:rPr>
              <w:t xml:space="preserve">Regeneration, Planning and Employment </w:t>
            </w:r>
          </w:p>
          <w:p w14:paraId="270DC5F6" w14:textId="77777777" w:rsidR="002D14F9" w:rsidRPr="00AA7494" w:rsidRDefault="002D14F9" w:rsidP="00FD61BA">
            <w:pPr>
              <w:pStyle w:val="Infotext"/>
              <w:jc w:val="both"/>
              <w:rPr>
                <w:rFonts w:cs="Arial"/>
                <w:sz w:val="24"/>
                <w:szCs w:val="24"/>
              </w:rPr>
            </w:pPr>
            <w:r w:rsidRPr="00AA7494">
              <w:rPr>
                <w:rFonts w:cs="Arial"/>
                <w:sz w:val="24"/>
                <w:szCs w:val="24"/>
              </w:rPr>
              <w:t xml:space="preserve">Cllr Adam Swersky, Portfolio Holder for Finance and </w:t>
            </w:r>
            <w:r>
              <w:rPr>
                <w:rFonts w:cs="Arial"/>
                <w:sz w:val="24"/>
                <w:szCs w:val="24"/>
              </w:rPr>
              <w:t>Resources</w:t>
            </w:r>
          </w:p>
          <w:p w14:paraId="56703852" w14:textId="77777777" w:rsidR="002D14F9" w:rsidRPr="00AA7494" w:rsidRDefault="002D14F9" w:rsidP="00FD61BA">
            <w:pPr>
              <w:pStyle w:val="Infotext"/>
              <w:jc w:val="both"/>
              <w:rPr>
                <w:rFonts w:cs="Arial"/>
                <w:color w:val="FF0000"/>
                <w:sz w:val="24"/>
                <w:szCs w:val="24"/>
              </w:rPr>
            </w:pPr>
          </w:p>
        </w:tc>
      </w:tr>
      <w:tr w:rsidR="002D14F9" w14:paraId="6CAC51E8" w14:textId="77777777">
        <w:trPr>
          <w:gridAfter w:val="1"/>
          <w:wAfter w:w="15" w:type="dxa"/>
        </w:trPr>
        <w:tc>
          <w:tcPr>
            <w:tcW w:w="3456" w:type="dxa"/>
          </w:tcPr>
          <w:p w14:paraId="2F87AEAB" w14:textId="77777777" w:rsidR="002D14F9" w:rsidRPr="00DB6C3D" w:rsidRDefault="002D14F9" w:rsidP="00FD61BA">
            <w:pPr>
              <w:pStyle w:val="Infotext"/>
              <w:jc w:val="both"/>
              <w:rPr>
                <w:rFonts w:ascii="Arial Black" w:hAnsi="Arial Black"/>
              </w:rPr>
            </w:pPr>
            <w:r w:rsidRPr="00DB6C3D">
              <w:rPr>
                <w:rFonts w:ascii="Arial Black" w:hAnsi="Arial Black"/>
              </w:rPr>
              <w:t>Exempt:</w:t>
            </w:r>
          </w:p>
          <w:p w14:paraId="0344A1A7" w14:textId="77777777" w:rsidR="002D14F9" w:rsidRPr="00C13A5F" w:rsidRDefault="002D14F9" w:rsidP="00FD61BA">
            <w:pPr>
              <w:pStyle w:val="BodyText"/>
              <w:jc w:val="both"/>
              <w:rPr>
                <w:rFonts w:ascii="Arial Black" w:hAnsi="Arial Black"/>
              </w:rPr>
            </w:pPr>
          </w:p>
        </w:tc>
        <w:tc>
          <w:tcPr>
            <w:tcW w:w="5054" w:type="dxa"/>
          </w:tcPr>
          <w:p w14:paraId="7AFA3ABD" w14:textId="77777777" w:rsidR="002D14F9" w:rsidRPr="004C3EB1" w:rsidRDefault="002D14F9" w:rsidP="00FD61BA">
            <w:pPr>
              <w:jc w:val="both"/>
              <w:rPr>
                <w:rFonts w:cs="Arial"/>
                <w:color w:val="FF0000"/>
                <w:szCs w:val="24"/>
                <w:highlight w:val="yellow"/>
              </w:rPr>
            </w:pPr>
            <w:r w:rsidRPr="00AC6C73">
              <w:rPr>
                <w:rFonts w:cs="Arial"/>
                <w:szCs w:val="24"/>
              </w:rPr>
              <w:t>No</w:t>
            </w:r>
          </w:p>
        </w:tc>
      </w:tr>
      <w:tr w:rsidR="002D14F9" w14:paraId="2DFCF021" w14:textId="77777777">
        <w:trPr>
          <w:gridAfter w:val="1"/>
          <w:wAfter w:w="15" w:type="dxa"/>
        </w:trPr>
        <w:tc>
          <w:tcPr>
            <w:tcW w:w="3456" w:type="dxa"/>
          </w:tcPr>
          <w:p w14:paraId="29CF1BC2" w14:textId="77777777" w:rsidR="002D14F9" w:rsidRPr="00DB6C3D" w:rsidRDefault="002D14F9" w:rsidP="00FD61BA">
            <w:pPr>
              <w:pStyle w:val="Infotext"/>
              <w:jc w:val="both"/>
              <w:rPr>
                <w:rFonts w:ascii="Arial Black" w:hAnsi="Arial Black"/>
              </w:rPr>
            </w:pPr>
            <w:r w:rsidRPr="00DB6C3D">
              <w:rPr>
                <w:rFonts w:ascii="Arial Black" w:hAnsi="Arial Black"/>
              </w:rPr>
              <w:t>Decision subject to Call-in:</w:t>
            </w:r>
          </w:p>
          <w:p w14:paraId="0968994D" w14:textId="77777777" w:rsidR="002D14F9" w:rsidRPr="00C13A5F" w:rsidRDefault="002D14F9" w:rsidP="00FD61BA">
            <w:pPr>
              <w:pStyle w:val="BodyText"/>
              <w:jc w:val="both"/>
              <w:rPr>
                <w:rFonts w:ascii="Arial Black" w:hAnsi="Arial Black"/>
              </w:rPr>
            </w:pPr>
          </w:p>
        </w:tc>
        <w:tc>
          <w:tcPr>
            <w:tcW w:w="5054" w:type="dxa"/>
          </w:tcPr>
          <w:p w14:paraId="0CCDDED1" w14:textId="77777777" w:rsidR="002D14F9" w:rsidRDefault="002D14F9" w:rsidP="00FD61BA">
            <w:pPr>
              <w:pStyle w:val="Infotext"/>
              <w:jc w:val="both"/>
              <w:rPr>
                <w:rFonts w:cs="Arial"/>
                <w:sz w:val="24"/>
                <w:szCs w:val="24"/>
              </w:rPr>
            </w:pPr>
            <w:r w:rsidRPr="00E252E3">
              <w:rPr>
                <w:rFonts w:cs="Arial"/>
                <w:sz w:val="24"/>
                <w:szCs w:val="24"/>
              </w:rPr>
              <w:t>Yes</w:t>
            </w:r>
            <w:r w:rsidRPr="005E3A10">
              <w:rPr>
                <w:rFonts w:cs="Arial"/>
                <w:sz w:val="24"/>
                <w:szCs w:val="24"/>
              </w:rPr>
              <w:t xml:space="preserve"> </w:t>
            </w:r>
          </w:p>
          <w:p w14:paraId="50E9A21C" w14:textId="77777777" w:rsidR="002D14F9" w:rsidRPr="005E3A10" w:rsidRDefault="002D14F9" w:rsidP="00FD61BA">
            <w:pPr>
              <w:pStyle w:val="Infotext"/>
              <w:jc w:val="both"/>
              <w:rPr>
                <w:rFonts w:cs="Arial"/>
                <w:szCs w:val="24"/>
              </w:rPr>
            </w:pPr>
          </w:p>
        </w:tc>
      </w:tr>
      <w:tr w:rsidR="002D14F9" w14:paraId="7508DF09" w14:textId="77777777">
        <w:trPr>
          <w:gridAfter w:val="1"/>
          <w:wAfter w:w="15" w:type="dxa"/>
        </w:trPr>
        <w:tc>
          <w:tcPr>
            <w:tcW w:w="3456" w:type="dxa"/>
          </w:tcPr>
          <w:p w14:paraId="5B94E14D" w14:textId="77777777" w:rsidR="002D14F9" w:rsidRDefault="002D14F9" w:rsidP="00FD61BA">
            <w:pPr>
              <w:pStyle w:val="Infotext"/>
              <w:jc w:val="both"/>
              <w:rPr>
                <w:rFonts w:ascii="Arial Black" w:hAnsi="Arial Black" w:cs="Arial"/>
              </w:rPr>
            </w:pPr>
            <w:r>
              <w:rPr>
                <w:rFonts w:ascii="Arial Black" w:hAnsi="Arial Black" w:cs="Arial"/>
              </w:rPr>
              <w:t>Wards affected:</w:t>
            </w:r>
          </w:p>
          <w:p w14:paraId="79943377" w14:textId="77777777" w:rsidR="002D14F9" w:rsidRPr="00C13A5F" w:rsidRDefault="002D14F9" w:rsidP="00FD61BA">
            <w:pPr>
              <w:pStyle w:val="Infotext"/>
              <w:jc w:val="both"/>
              <w:rPr>
                <w:rFonts w:ascii="Arial Black" w:hAnsi="Arial Black" w:cs="Arial"/>
              </w:rPr>
            </w:pPr>
          </w:p>
        </w:tc>
        <w:tc>
          <w:tcPr>
            <w:tcW w:w="5054" w:type="dxa"/>
          </w:tcPr>
          <w:p w14:paraId="45875D08" w14:textId="77777777" w:rsidR="002D14F9" w:rsidRPr="005E3A10" w:rsidRDefault="002D14F9" w:rsidP="00FD61BA">
            <w:pPr>
              <w:jc w:val="both"/>
              <w:rPr>
                <w:rFonts w:cs="Arial"/>
                <w:szCs w:val="24"/>
              </w:rPr>
            </w:pPr>
            <w:r>
              <w:rPr>
                <w:rFonts w:cs="Arial"/>
                <w:szCs w:val="24"/>
              </w:rPr>
              <w:t>All wards</w:t>
            </w:r>
          </w:p>
        </w:tc>
      </w:tr>
      <w:tr w:rsidR="002D14F9" w14:paraId="4C62AE0A" w14:textId="77777777">
        <w:trPr>
          <w:gridAfter w:val="1"/>
          <w:wAfter w:w="15" w:type="dxa"/>
        </w:trPr>
        <w:tc>
          <w:tcPr>
            <w:tcW w:w="3456" w:type="dxa"/>
          </w:tcPr>
          <w:p w14:paraId="70614205" w14:textId="77777777" w:rsidR="002D14F9" w:rsidRPr="00C13A5F" w:rsidRDefault="002D14F9" w:rsidP="00FD61BA">
            <w:pPr>
              <w:pStyle w:val="Infotext"/>
              <w:jc w:val="both"/>
              <w:rPr>
                <w:rFonts w:ascii="Arial Black" w:hAnsi="Arial Black" w:cs="Arial"/>
              </w:rPr>
            </w:pPr>
            <w:r w:rsidRPr="00C13A5F">
              <w:rPr>
                <w:rFonts w:ascii="Arial Black" w:hAnsi="Arial Black" w:cs="Arial"/>
              </w:rPr>
              <w:t>Enclosures:</w:t>
            </w:r>
          </w:p>
          <w:p w14:paraId="5E2EAD6E" w14:textId="77777777" w:rsidR="002D14F9" w:rsidRPr="00C13A5F" w:rsidRDefault="002D14F9" w:rsidP="00FD61BA">
            <w:pPr>
              <w:pStyle w:val="Infotext"/>
              <w:jc w:val="both"/>
              <w:rPr>
                <w:rFonts w:ascii="Arial Black" w:hAnsi="Arial Black" w:cs="Arial"/>
              </w:rPr>
            </w:pPr>
          </w:p>
        </w:tc>
        <w:tc>
          <w:tcPr>
            <w:tcW w:w="5054" w:type="dxa"/>
          </w:tcPr>
          <w:p w14:paraId="3FC0394A" w14:textId="77777777" w:rsidR="002D14F9" w:rsidRPr="00090872" w:rsidRDefault="0052066E" w:rsidP="00FD61BA">
            <w:pPr>
              <w:pStyle w:val="Infotext"/>
              <w:jc w:val="both"/>
              <w:rPr>
                <w:color w:val="FF0000"/>
                <w:sz w:val="24"/>
                <w:szCs w:val="24"/>
              </w:rPr>
            </w:pPr>
            <w:r>
              <w:rPr>
                <w:rFonts w:cs="Arial"/>
                <w:sz w:val="24"/>
                <w:szCs w:val="24"/>
              </w:rPr>
              <w:t>None</w:t>
            </w:r>
          </w:p>
        </w:tc>
      </w:tr>
    </w:tbl>
    <w:p w14:paraId="00BB8D87" w14:textId="77777777" w:rsidR="00333FAA" w:rsidRDefault="00333FAA" w:rsidP="00FD61BA">
      <w:pPr>
        <w:jc w:val="both"/>
        <w:rPr>
          <w:rFonts w:cs="Arial"/>
        </w:rPr>
      </w:pPr>
    </w:p>
    <w:p w14:paraId="363129FE" w14:textId="77777777" w:rsidR="002D14F9" w:rsidRDefault="0038503F" w:rsidP="00FD61BA">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2D14F9">
        <w:rPr>
          <w:rFonts w:cs="Arial"/>
        </w:rPr>
        <w:br w:type="page"/>
      </w:r>
    </w:p>
    <w:p w14:paraId="1724C6B9" w14:textId="77777777" w:rsidR="004076C8" w:rsidRDefault="004076C8" w:rsidP="00FD61BA">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14:paraId="134D21E2" w14:textId="77777777">
        <w:tc>
          <w:tcPr>
            <w:tcW w:w="8525" w:type="dxa"/>
            <w:tcBorders>
              <w:top w:val="nil"/>
              <w:left w:val="nil"/>
              <w:right w:val="nil"/>
            </w:tcBorders>
          </w:tcPr>
          <w:p w14:paraId="78E87727" w14:textId="77777777" w:rsidR="00333FAA" w:rsidRDefault="00333FAA" w:rsidP="00FD61BA">
            <w:pPr>
              <w:pStyle w:val="Heading1"/>
              <w:jc w:val="both"/>
            </w:pPr>
            <w:r>
              <w:t>Section 1 – Summary and Recommendations</w:t>
            </w:r>
          </w:p>
          <w:p w14:paraId="09300C1B" w14:textId="77777777" w:rsidR="00333FAA" w:rsidRDefault="00333FAA" w:rsidP="00FD61BA">
            <w:pPr>
              <w:jc w:val="both"/>
            </w:pPr>
          </w:p>
        </w:tc>
      </w:tr>
      <w:tr w:rsidR="00333FAA" w14:paraId="42F56BDB" w14:textId="77777777">
        <w:tc>
          <w:tcPr>
            <w:tcW w:w="8525" w:type="dxa"/>
          </w:tcPr>
          <w:p w14:paraId="111985D0" w14:textId="77777777" w:rsidR="00333FAA" w:rsidRDefault="00333FAA" w:rsidP="00FD61BA">
            <w:pPr>
              <w:jc w:val="both"/>
            </w:pPr>
          </w:p>
          <w:p w14:paraId="1B2F4492" w14:textId="77777777" w:rsidR="002D14F9" w:rsidRPr="00CD5D23" w:rsidRDefault="002D14F9" w:rsidP="00FD61BA">
            <w:pPr>
              <w:pStyle w:val="Heading2"/>
              <w:jc w:val="both"/>
              <w:rPr>
                <w:b w:val="0"/>
                <w:color w:val="00B050"/>
                <w:sz w:val="20"/>
                <w:szCs w:val="28"/>
              </w:rPr>
            </w:pPr>
            <w:r w:rsidRPr="00141DC3">
              <w:rPr>
                <w:szCs w:val="28"/>
              </w:rPr>
              <w:t>Reason for the Report:</w:t>
            </w:r>
            <w:r>
              <w:rPr>
                <w:szCs w:val="28"/>
              </w:rPr>
              <w:t xml:space="preserve"> </w:t>
            </w:r>
          </w:p>
          <w:p w14:paraId="7F665DDE" w14:textId="77777777" w:rsidR="002D14F9" w:rsidRDefault="002D14F9" w:rsidP="00FD61BA">
            <w:pPr>
              <w:jc w:val="both"/>
            </w:pPr>
          </w:p>
          <w:p w14:paraId="152BFCC5" w14:textId="77777777" w:rsidR="002D14F9" w:rsidRDefault="002D14F9" w:rsidP="00FD61BA">
            <w:pPr>
              <w:pStyle w:val="CommentText"/>
              <w:jc w:val="both"/>
              <w:rPr>
                <w:rFonts w:ascii="Arial" w:hAnsi="Arial" w:cs="Arial"/>
                <w:sz w:val="24"/>
                <w:szCs w:val="24"/>
              </w:rPr>
            </w:pPr>
            <w:r>
              <w:rPr>
                <w:rFonts w:ascii="Arial" w:hAnsi="Arial" w:cs="Arial"/>
                <w:sz w:val="24"/>
                <w:szCs w:val="24"/>
              </w:rPr>
              <w:t xml:space="preserve">To provide an </w:t>
            </w:r>
            <w:r w:rsidRPr="00913B9C">
              <w:rPr>
                <w:rFonts w:ascii="Arial" w:hAnsi="Arial" w:cs="Arial"/>
                <w:sz w:val="24"/>
                <w:szCs w:val="24"/>
              </w:rPr>
              <w:t xml:space="preserve">update </w:t>
            </w:r>
            <w:r>
              <w:rPr>
                <w:rFonts w:ascii="Arial" w:hAnsi="Arial" w:cs="Arial"/>
                <w:sz w:val="24"/>
                <w:szCs w:val="24"/>
              </w:rPr>
              <w:t xml:space="preserve">report to </w:t>
            </w:r>
            <w:r w:rsidR="002123FB">
              <w:rPr>
                <w:rFonts w:ascii="Arial" w:hAnsi="Arial" w:cs="Arial"/>
                <w:sz w:val="24"/>
                <w:szCs w:val="24"/>
              </w:rPr>
              <w:t>M</w:t>
            </w:r>
            <w:r w:rsidRPr="00913B9C">
              <w:rPr>
                <w:rFonts w:ascii="Arial" w:hAnsi="Arial" w:cs="Arial"/>
                <w:sz w:val="24"/>
                <w:szCs w:val="24"/>
              </w:rPr>
              <w:t xml:space="preserve">embers </w:t>
            </w:r>
            <w:r>
              <w:rPr>
                <w:rFonts w:ascii="Arial" w:hAnsi="Arial" w:cs="Arial"/>
                <w:sz w:val="24"/>
                <w:szCs w:val="24"/>
              </w:rPr>
              <w:t xml:space="preserve">on the progress of all Regeneration activity being designed and delivered across the borough. </w:t>
            </w:r>
            <w:r w:rsidR="001A4ACB">
              <w:rPr>
                <w:rFonts w:ascii="Arial" w:hAnsi="Arial" w:cs="Arial"/>
                <w:sz w:val="24"/>
                <w:szCs w:val="24"/>
              </w:rPr>
              <w:t>This update includes UK lockdown period and any impact on live projects which are currently on site.</w:t>
            </w:r>
          </w:p>
          <w:p w14:paraId="538CD36D" w14:textId="77777777" w:rsidR="002D14F9" w:rsidRPr="00765CCB" w:rsidRDefault="002D14F9" w:rsidP="00FD61BA">
            <w:pPr>
              <w:pStyle w:val="CommentText"/>
              <w:jc w:val="both"/>
              <w:rPr>
                <w:rFonts w:ascii="Arial" w:hAnsi="Arial" w:cs="Arial"/>
                <w:sz w:val="16"/>
                <w:szCs w:val="16"/>
              </w:rPr>
            </w:pPr>
          </w:p>
          <w:p w14:paraId="5C97EFD6" w14:textId="77777777" w:rsidR="002D14F9" w:rsidRPr="00765CCB" w:rsidRDefault="002D14F9" w:rsidP="00FD61BA">
            <w:pPr>
              <w:pStyle w:val="CommentText"/>
              <w:jc w:val="both"/>
              <w:rPr>
                <w:rFonts w:ascii="Arial" w:hAnsi="Arial" w:cs="Arial"/>
                <w:sz w:val="16"/>
                <w:szCs w:val="16"/>
              </w:rPr>
            </w:pPr>
            <w:r w:rsidRPr="00913B9C">
              <w:rPr>
                <w:rFonts w:ascii="Arial" w:hAnsi="Arial" w:cs="Arial"/>
                <w:sz w:val="24"/>
                <w:szCs w:val="24"/>
              </w:rPr>
              <w:t xml:space="preserve"> </w:t>
            </w:r>
          </w:p>
          <w:p w14:paraId="4BD8CC84" w14:textId="77777777" w:rsidR="002D14F9" w:rsidRDefault="002D14F9" w:rsidP="00FD61BA">
            <w:pPr>
              <w:pStyle w:val="Heading2"/>
              <w:jc w:val="both"/>
            </w:pPr>
            <w:r>
              <w:t xml:space="preserve">Recommendations: </w:t>
            </w:r>
          </w:p>
          <w:p w14:paraId="572AD3BF" w14:textId="77777777" w:rsidR="006E383B" w:rsidRDefault="006E383B" w:rsidP="00FD61BA">
            <w:pPr>
              <w:jc w:val="both"/>
            </w:pPr>
          </w:p>
          <w:p w14:paraId="210A2087" w14:textId="77777777" w:rsidR="006E383B" w:rsidRPr="0099054E" w:rsidRDefault="002123FB" w:rsidP="00FD61BA">
            <w:pPr>
              <w:jc w:val="both"/>
            </w:pPr>
            <w:r>
              <w:t>Cabinet is requested to n</w:t>
            </w:r>
            <w:r w:rsidR="006E383B" w:rsidRPr="0099054E">
              <w:t xml:space="preserve">ote the </w:t>
            </w:r>
            <w:r w:rsidRPr="0099054E">
              <w:t>ongoing</w:t>
            </w:r>
            <w:r w:rsidR="006E383B" w:rsidRPr="0099054E">
              <w:t xml:space="preserve"> progress of both the delivery of the </w:t>
            </w:r>
            <w:r w:rsidR="00313DCC">
              <w:t>c</w:t>
            </w:r>
            <w:r w:rsidR="00313DCC" w:rsidRPr="0099054E">
              <w:t xml:space="preserve">ouncil </w:t>
            </w:r>
            <w:r w:rsidR="006E383B" w:rsidRPr="0099054E">
              <w:t xml:space="preserve">led </w:t>
            </w:r>
            <w:r w:rsidR="00313DCC">
              <w:t>r</w:t>
            </w:r>
            <w:r w:rsidR="00313DCC" w:rsidRPr="0099054E">
              <w:t xml:space="preserve">egeneration </w:t>
            </w:r>
            <w:r w:rsidR="006E383B" w:rsidRPr="0099054E">
              <w:t>activities and our public and private sector partners across the borough.</w:t>
            </w:r>
          </w:p>
          <w:p w14:paraId="1C8EA23A" w14:textId="77777777" w:rsidR="002D14F9" w:rsidRDefault="002D14F9" w:rsidP="00FD61BA">
            <w:pPr>
              <w:pStyle w:val="ListParagraph"/>
              <w:jc w:val="both"/>
            </w:pPr>
          </w:p>
          <w:p w14:paraId="26F253FA" w14:textId="77777777" w:rsidR="002D14F9" w:rsidRPr="00765CCB" w:rsidRDefault="002D14F9" w:rsidP="00FD61BA">
            <w:pPr>
              <w:tabs>
                <w:tab w:val="left" w:pos="5205"/>
              </w:tabs>
              <w:jc w:val="both"/>
              <w:rPr>
                <w:rFonts w:cs="Arial"/>
                <w:b/>
                <w:color w:val="FF0000"/>
                <w:sz w:val="28"/>
                <w:szCs w:val="28"/>
              </w:rPr>
            </w:pPr>
            <w:r w:rsidRPr="00765CCB">
              <w:rPr>
                <w:rFonts w:cs="Arial"/>
                <w:b/>
                <w:sz w:val="28"/>
                <w:szCs w:val="28"/>
              </w:rPr>
              <w:t xml:space="preserve">Reason: (For recommendations) </w:t>
            </w:r>
            <w:r w:rsidRPr="00765CCB">
              <w:rPr>
                <w:rFonts w:cs="Arial"/>
                <w:b/>
                <w:color w:val="FF0000"/>
                <w:sz w:val="28"/>
                <w:szCs w:val="28"/>
              </w:rPr>
              <w:t xml:space="preserve"> </w:t>
            </w:r>
          </w:p>
          <w:p w14:paraId="398C6D8B" w14:textId="77777777" w:rsidR="002D14F9" w:rsidRPr="00765CCB" w:rsidRDefault="002D14F9" w:rsidP="00FD61BA">
            <w:pPr>
              <w:jc w:val="both"/>
              <w:rPr>
                <w:rFonts w:cs="Arial"/>
                <w:szCs w:val="24"/>
              </w:rPr>
            </w:pPr>
          </w:p>
          <w:p w14:paraId="5B535186" w14:textId="77777777" w:rsidR="001A4ACB" w:rsidRPr="00AC705F" w:rsidRDefault="002D14F9" w:rsidP="001A4ACB">
            <w:pPr>
              <w:pStyle w:val="CommentText"/>
              <w:jc w:val="both"/>
              <w:rPr>
                <w:rFonts w:ascii="Arial" w:hAnsi="Arial" w:cs="Arial"/>
                <w:sz w:val="24"/>
                <w:szCs w:val="24"/>
              </w:rPr>
            </w:pPr>
            <w:r w:rsidRPr="00AC705F">
              <w:rPr>
                <w:rFonts w:ascii="Arial" w:hAnsi="Arial" w:cs="Arial"/>
                <w:sz w:val="24"/>
                <w:szCs w:val="24"/>
              </w:rPr>
              <w:t>To provide an update report to members on the progress of all Regeneration activity being designed and delivered across the borough.</w:t>
            </w:r>
            <w:r w:rsidR="001A4ACB" w:rsidRPr="00AC705F">
              <w:rPr>
                <w:rFonts w:ascii="Arial" w:hAnsi="Arial" w:cs="Arial"/>
                <w:sz w:val="24"/>
                <w:szCs w:val="24"/>
              </w:rPr>
              <w:t xml:space="preserve">  This update includes UK lockdown period and any impact on live projects which are currently on site.</w:t>
            </w:r>
          </w:p>
          <w:p w14:paraId="266B6E54" w14:textId="77777777" w:rsidR="00333FAA" w:rsidRDefault="00333FAA" w:rsidP="00FD61BA">
            <w:pPr>
              <w:jc w:val="both"/>
            </w:pPr>
          </w:p>
          <w:p w14:paraId="02744E88" w14:textId="77777777" w:rsidR="00333FAA" w:rsidRDefault="00333FAA" w:rsidP="00FD61BA">
            <w:pPr>
              <w:jc w:val="both"/>
              <w:rPr>
                <w:rFonts w:cs="Arial"/>
              </w:rPr>
            </w:pPr>
          </w:p>
        </w:tc>
      </w:tr>
    </w:tbl>
    <w:p w14:paraId="5C379018" w14:textId="77777777" w:rsidR="00333FAA" w:rsidRDefault="00333FAA" w:rsidP="00FD61BA">
      <w:pPr>
        <w:pStyle w:val="Heading1"/>
        <w:jc w:val="both"/>
        <w:rPr>
          <w:rFonts w:ascii="Arial" w:hAnsi="Arial"/>
          <w:sz w:val="24"/>
          <w:szCs w:val="24"/>
        </w:rPr>
      </w:pPr>
    </w:p>
    <w:p w14:paraId="5A9FC9E6" w14:textId="77777777" w:rsidR="00F667FD" w:rsidRDefault="00F667FD" w:rsidP="00FD61BA">
      <w:pPr>
        <w:jc w:val="both"/>
      </w:pPr>
    </w:p>
    <w:p w14:paraId="3F116CF3" w14:textId="77777777" w:rsidR="00F667FD" w:rsidRDefault="00F667FD" w:rsidP="00FD61BA">
      <w:pPr>
        <w:jc w:val="both"/>
      </w:pPr>
    </w:p>
    <w:p w14:paraId="1A8D6B70" w14:textId="77777777" w:rsidR="00F667FD" w:rsidRDefault="00F667FD" w:rsidP="00FD61BA">
      <w:pPr>
        <w:jc w:val="both"/>
      </w:pPr>
    </w:p>
    <w:p w14:paraId="3E5F7444" w14:textId="77777777" w:rsidR="00F667FD" w:rsidRDefault="00F667FD" w:rsidP="00FD61BA">
      <w:pPr>
        <w:jc w:val="both"/>
      </w:pPr>
    </w:p>
    <w:p w14:paraId="6EFC209A" w14:textId="77777777" w:rsidR="00F667FD" w:rsidRDefault="00F667FD" w:rsidP="00FD61BA">
      <w:pPr>
        <w:jc w:val="both"/>
      </w:pPr>
    </w:p>
    <w:p w14:paraId="597BB439" w14:textId="77777777" w:rsidR="00F667FD" w:rsidRDefault="00F667FD" w:rsidP="00FD61BA">
      <w:pPr>
        <w:jc w:val="both"/>
      </w:pPr>
    </w:p>
    <w:p w14:paraId="79BDC758" w14:textId="77777777" w:rsidR="00F667FD" w:rsidRDefault="00F667FD" w:rsidP="00FD61BA">
      <w:pPr>
        <w:jc w:val="both"/>
      </w:pPr>
    </w:p>
    <w:p w14:paraId="0095769B" w14:textId="77777777" w:rsidR="00F667FD" w:rsidRDefault="00F667FD" w:rsidP="00FD61BA">
      <w:pPr>
        <w:jc w:val="both"/>
      </w:pPr>
    </w:p>
    <w:p w14:paraId="00F3C0B3" w14:textId="77777777" w:rsidR="00F667FD" w:rsidRDefault="00F667FD" w:rsidP="00FD61BA">
      <w:pPr>
        <w:jc w:val="both"/>
      </w:pPr>
    </w:p>
    <w:p w14:paraId="223442D6" w14:textId="77777777" w:rsidR="00F667FD" w:rsidRDefault="00F667FD" w:rsidP="00FD61BA">
      <w:pPr>
        <w:jc w:val="both"/>
      </w:pPr>
    </w:p>
    <w:p w14:paraId="49F4C65F" w14:textId="77777777" w:rsidR="00F667FD" w:rsidRDefault="00F667FD" w:rsidP="00FD61BA">
      <w:pPr>
        <w:jc w:val="both"/>
      </w:pPr>
    </w:p>
    <w:p w14:paraId="4E6B05A9" w14:textId="77777777" w:rsidR="00F667FD" w:rsidRDefault="00F667FD" w:rsidP="00FD61BA">
      <w:pPr>
        <w:jc w:val="both"/>
      </w:pPr>
    </w:p>
    <w:p w14:paraId="7AC51023" w14:textId="77777777" w:rsidR="00F667FD" w:rsidRDefault="00F667FD" w:rsidP="00FD61BA">
      <w:pPr>
        <w:jc w:val="both"/>
      </w:pPr>
    </w:p>
    <w:p w14:paraId="7509168F" w14:textId="77777777" w:rsidR="00F667FD" w:rsidRDefault="00F667FD" w:rsidP="00FD61BA">
      <w:pPr>
        <w:jc w:val="both"/>
      </w:pPr>
    </w:p>
    <w:p w14:paraId="78B351EC" w14:textId="77777777" w:rsidR="00F667FD" w:rsidRDefault="00F667FD" w:rsidP="00FD61BA">
      <w:pPr>
        <w:jc w:val="both"/>
      </w:pPr>
    </w:p>
    <w:p w14:paraId="125AD32F" w14:textId="77777777" w:rsidR="00F667FD" w:rsidRDefault="00F667FD" w:rsidP="00FD61BA">
      <w:pPr>
        <w:jc w:val="both"/>
      </w:pPr>
    </w:p>
    <w:p w14:paraId="41645CB5" w14:textId="77777777" w:rsidR="00F667FD" w:rsidRDefault="00F667FD" w:rsidP="00FD61BA">
      <w:pPr>
        <w:jc w:val="both"/>
      </w:pPr>
    </w:p>
    <w:p w14:paraId="42457328" w14:textId="77777777" w:rsidR="00F667FD" w:rsidRDefault="00F667FD" w:rsidP="00FD61BA">
      <w:pPr>
        <w:jc w:val="both"/>
      </w:pPr>
    </w:p>
    <w:p w14:paraId="7D5F927B" w14:textId="77777777" w:rsidR="00F667FD" w:rsidRDefault="00F667FD" w:rsidP="00FD61BA">
      <w:pPr>
        <w:jc w:val="both"/>
      </w:pPr>
    </w:p>
    <w:p w14:paraId="5683676D" w14:textId="77777777" w:rsidR="00F667FD" w:rsidRDefault="00F667FD" w:rsidP="00FD61BA">
      <w:pPr>
        <w:jc w:val="both"/>
      </w:pPr>
    </w:p>
    <w:p w14:paraId="0A23AC6C" w14:textId="77777777" w:rsidR="00F667FD" w:rsidRDefault="00F667FD" w:rsidP="00FD61BA">
      <w:pPr>
        <w:jc w:val="both"/>
      </w:pPr>
    </w:p>
    <w:p w14:paraId="159A6D53" w14:textId="77777777" w:rsidR="00F667FD" w:rsidRDefault="00F667FD" w:rsidP="00FD61BA">
      <w:pPr>
        <w:jc w:val="both"/>
      </w:pPr>
    </w:p>
    <w:p w14:paraId="6060C492" w14:textId="77777777" w:rsidR="00F667FD" w:rsidRDefault="00F667FD" w:rsidP="00FD61BA">
      <w:pPr>
        <w:jc w:val="both"/>
      </w:pPr>
    </w:p>
    <w:p w14:paraId="7B61F073" w14:textId="77777777" w:rsidR="00F667FD" w:rsidRDefault="00F667FD" w:rsidP="00FD61BA">
      <w:pPr>
        <w:jc w:val="both"/>
      </w:pPr>
    </w:p>
    <w:p w14:paraId="77525CB1" w14:textId="77777777" w:rsidR="00F667FD" w:rsidRDefault="00F667FD" w:rsidP="00FD61BA">
      <w:pPr>
        <w:jc w:val="both"/>
      </w:pPr>
    </w:p>
    <w:p w14:paraId="766F2232" w14:textId="77777777" w:rsidR="00333FAA" w:rsidRDefault="00333FAA" w:rsidP="00FD61BA">
      <w:pPr>
        <w:pStyle w:val="Heading1"/>
        <w:jc w:val="both"/>
      </w:pPr>
      <w:r>
        <w:lastRenderedPageBreak/>
        <w:t>Section 2 – Report</w:t>
      </w:r>
    </w:p>
    <w:p w14:paraId="207FCFE7" w14:textId="77777777" w:rsidR="00F667FD" w:rsidRPr="00F667FD" w:rsidRDefault="00F667FD" w:rsidP="00FD61BA">
      <w:pPr>
        <w:jc w:val="both"/>
      </w:pPr>
    </w:p>
    <w:p w14:paraId="62578E95" w14:textId="77777777" w:rsidR="002D14F9" w:rsidRPr="00CD5D23" w:rsidRDefault="002D14F9" w:rsidP="00FD61BA">
      <w:pPr>
        <w:pStyle w:val="Heading2"/>
        <w:jc w:val="both"/>
        <w:rPr>
          <w:color w:val="00B050"/>
        </w:rPr>
      </w:pPr>
      <w:r>
        <w:t xml:space="preserve">Introductory paragraph </w:t>
      </w:r>
    </w:p>
    <w:p w14:paraId="5405D6C6" w14:textId="77777777" w:rsidR="002D14F9" w:rsidRDefault="002D14F9" w:rsidP="00FD61BA">
      <w:pPr>
        <w:jc w:val="both"/>
        <w:rPr>
          <w:color w:val="000000"/>
        </w:rPr>
      </w:pPr>
    </w:p>
    <w:p w14:paraId="7F0D524D" w14:textId="77777777" w:rsidR="002D14F9" w:rsidRDefault="002D14F9" w:rsidP="00AC705F">
      <w:pPr>
        <w:jc w:val="both"/>
      </w:pPr>
      <w:r w:rsidRPr="00226BC9">
        <w:rPr>
          <w:b/>
        </w:rPr>
        <w:t>2.1</w:t>
      </w:r>
      <w:r>
        <w:t xml:space="preserve"> The purpose of this report is to highlight progress to date of all Regeneration activity across the borough </w:t>
      </w:r>
      <w:r w:rsidR="00781A91">
        <w:t xml:space="preserve">which is being delivered </w:t>
      </w:r>
      <w:r>
        <w:t xml:space="preserve">through a range of </w:t>
      </w:r>
      <w:r w:rsidR="00781A91">
        <w:t xml:space="preserve">Council led schemes </w:t>
      </w:r>
      <w:r>
        <w:t xml:space="preserve">and private </w:t>
      </w:r>
      <w:r w:rsidR="00781A91">
        <w:t>developers</w:t>
      </w:r>
      <w:r>
        <w:t xml:space="preserve">.  </w:t>
      </w:r>
      <w:r w:rsidR="006D49AA">
        <w:t xml:space="preserve">This report </w:t>
      </w:r>
      <w:r w:rsidR="00781A91">
        <w:t xml:space="preserve">incorporates </w:t>
      </w:r>
      <w:r w:rsidR="006D49AA">
        <w:t>the past three months from March through to June 2020</w:t>
      </w:r>
      <w:r w:rsidR="00781A91">
        <w:t xml:space="preserve"> which includes the </w:t>
      </w:r>
      <w:proofErr w:type="spellStart"/>
      <w:r w:rsidR="006D49AA">
        <w:t>Covid</w:t>
      </w:r>
      <w:proofErr w:type="spellEnd"/>
      <w:r w:rsidR="006D49AA">
        <w:t xml:space="preserve"> 19 UK lockdown period </w:t>
      </w:r>
      <w:r w:rsidR="00781A91">
        <w:t xml:space="preserve">outlines any impact on project and programmes including sites closures </w:t>
      </w:r>
      <w:r w:rsidR="006D49AA">
        <w:t xml:space="preserve">and </w:t>
      </w:r>
      <w:r w:rsidR="00781A91">
        <w:t xml:space="preserve">where applicable </w:t>
      </w:r>
      <w:r w:rsidR="006D49AA">
        <w:t>restart on all Council and Partner led projects and programmes.</w:t>
      </w:r>
    </w:p>
    <w:p w14:paraId="3D1B5526" w14:textId="77777777" w:rsidR="00AC705F" w:rsidRDefault="00AC705F" w:rsidP="00AC705F">
      <w:pPr>
        <w:jc w:val="both"/>
      </w:pPr>
    </w:p>
    <w:p w14:paraId="5C9E7256" w14:textId="77777777" w:rsidR="00AC705F" w:rsidRPr="00AC705F" w:rsidRDefault="00AC705F" w:rsidP="00AC705F">
      <w:pPr>
        <w:jc w:val="both"/>
        <w:rPr>
          <w:b/>
          <w:sz w:val="28"/>
          <w:szCs w:val="28"/>
        </w:rPr>
      </w:pPr>
      <w:r w:rsidRPr="00AC705F">
        <w:rPr>
          <w:b/>
          <w:sz w:val="28"/>
          <w:szCs w:val="28"/>
        </w:rPr>
        <w:t>Regeneration Strategy</w:t>
      </w:r>
    </w:p>
    <w:p w14:paraId="45953DC9" w14:textId="77777777" w:rsidR="002D14F9" w:rsidRDefault="002D14F9" w:rsidP="00AC705F">
      <w:pPr>
        <w:jc w:val="both"/>
      </w:pPr>
    </w:p>
    <w:p w14:paraId="09701B1E" w14:textId="77777777" w:rsidR="002D14F9" w:rsidRDefault="002D14F9" w:rsidP="00AC705F">
      <w:pPr>
        <w:jc w:val="both"/>
      </w:pPr>
      <w:r w:rsidRPr="00226BC9">
        <w:rPr>
          <w:b/>
        </w:rPr>
        <w:t>2.</w:t>
      </w:r>
      <w:r>
        <w:rPr>
          <w:b/>
        </w:rPr>
        <w:t>2</w:t>
      </w:r>
      <w:r>
        <w:t xml:space="preserve"> The Council</w:t>
      </w:r>
      <w:r w:rsidR="002123FB">
        <w:t>’</w:t>
      </w:r>
      <w:r>
        <w:t xml:space="preserve">s Regeneration Strategy </w:t>
      </w:r>
      <w:r w:rsidR="006D49AA">
        <w:t xml:space="preserve">covers the period </w:t>
      </w:r>
      <w:r w:rsidR="007278EF">
        <w:t>from</w:t>
      </w:r>
      <w:r w:rsidR="006D49AA">
        <w:t xml:space="preserve"> </w:t>
      </w:r>
      <w:r w:rsidRPr="008C70A5">
        <w:rPr>
          <w:rFonts w:eastAsia="Calibri" w:cs="Arial"/>
          <w:color w:val="000000"/>
          <w:szCs w:val="24"/>
          <w:lang w:eastAsia="en-GB"/>
        </w:rPr>
        <w:t>201</w:t>
      </w:r>
      <w:r w:rsidR="006D49AA">
        <w:rPr>
          <w:rFonts w:eastAsia="Calibri" w:cs="Arial"/>
          <w:color w:val="000000"/>
          <w:szCs w:val="24"/>
          <w:lang w:eastAsia="en-GB"/>
        </w:rPr>
        <w:t xml:space="preserve">5 </w:t>
      </w:r>
      <w:r w:rsidR="003D3388">
        <w:rPr>
          <w:rFonts w:eastAsia="Calibri" w:cs="Arial"/>
          <w:color w:val="000000"/>
          <w:szCs w:val="24"/>
          <w:lang w:eastAsia="en-GB"/>
        </w:rPr>
        <w:t xml:space="preserve">to </w:t>
      </w:r>
      <w:r w:rsidRPr="008C70A5">
        <w:rPr>
          <w:rFonts w:eastAsia="Calibri" w:cs="Arial"/>
          <w:color w:val="000000"/>
          <w:szCs w:val="24"/>
          <w:lang w:eastAsia="en-GB"/>
        </w:rPr>
        <w:t>2026</w:t>
      </w:r>
      <w:r w:rsidR="003D3388">
        <w:rPr>
          <w:rFonts w:eastAsia="Calibri" w:cs="Arial"/>
          <w:color w:val="000000"/>
          <w:szCs w:val="24"/>
          <w:lang w:eastAsia="en-GB"/>
        </w:rPr>
        <w:t xml:space="preserve"> and </w:t>
      </w:r>
      <w:r w:rsidR="006D49AA">
        <w:rPr>
          <w:rFonts w:eastAsia="Calibri" w:cs="Arial"/>
          <w:color w:val="000000"/>
          <w:szCs w:val="24"/>
          <w:lang w:eastAsia="en-GB"/>
        </w:rPr>
        <w:t xml:space="preserve">it outlines </w:t>
      </w:r>
      <w:r>
        <w:t>three core themes:</w:t>
      </w:r>
    </w:p>
    <w:p w14:paraId="2CCD123C" w14:textId="77777777" w:rsidR="002D14F9" w:rsidRPr="00C775D1" w:rsidRDefault="002D14F9" w:rsidP="00AC705F">
      <w:pPr>
        <w:jc w:val="both"/>
      </w:pPr>
    </w:p>
    <w:p w14:paraId="52415473" w14:textId="77777777" w:rsidR="002D14F9" w:rsidRPr="00A35516" w:rsidRDefault="002D14F9" w:rsidP="00AC705F">
      <w:pPr>
        <w:pStyle w:val="Pa6"/>
        <w:jc w:val="both"/>
        <w:rPr>
          <w:rStyle w:val="A5"/>
          <w:rFonts w:ascii="Arial" w:hAnsi="Arial" w:cs="Arial"/>
          <w:color w:val="000000"/>
          <w:sz w:val="24"/>
          <w:szCs w:val="24"/>
          <w:lang w:eastAsia="en-US"/>
        </w:rPr>
      </w:pPr>
      <w:r w:rsidRPr="00EE6155">
        <w:rPr>
          <w:rStyle w:val="A5"/>
          <w:rFonts w:ascii="Arial" w:hAnsi="Arial" w:cs="Arial"/>
          <w:b/>
          <w:color w:val="000000"/>
          <w:sz w:val="24"/>
          <w:szCs w:val="24"/>
        </w:rPr>
        <w:t>Place -</w:t>
      </w:r>
      <w:r w:rsidRPr="00EE6155">
        <w:rPr>
          <w:rStyle w:val="A5"/>
          <w:rFonts w:ascii="Arial" w:hAnsi="Arial" w:cs="Arial"/>
          <w:color w:val="000000"/>
          <w:sz w:val="24"/>
          <w:szCs w:val="24"/>
        </w:rPr>
        <w:t xml:space="preserve"> Providing the homes, schools and infrastructure needed to meet the demands of our growing population and business base, with high quality town and district centres that attract business investment and foster community engagement.</w:t>
      </w:r>
      <w:r w:rsidR="00FD4464">
        <w:rPr>
          <w:rStyle w:val="A5"/>
          <w:rFonts w:ascii="Arial" w:hAnsi="Arial" w:cs="Arial"/>
          <w:color w:val="000000"/>
          <w:sz w:val="24"/>
          <w:szCs w:val="24"/>
        </w:rPr>
        <w:t xml:space="preserve"> </w:t>
      </w:r>
    </w:p>
    <w:p w14:paraId="2F5192A6" w14:textId="77777777" w:rsidR="002D14F9" w:rsidRPr="00A35516" w:rsidRDefault="002D14F9" w:rsidP="00AC705F">
      <w:pPr>
        <w:jc w:val="both"/>
        <w:rPr>
          <w:rStyle w:val="A5"/>
          <w:rFonts w:cs="Arial"/>
          <w:color w:val="000000"/>
          <w:sz w:val="24"/>
          <w:szCs w:val="24"/>
        </w:rPr>
      </w:pPr>
    </w:p>
    <w:p w14:paraId="6773C018" w14:textId="77777777" w:rsidR="002D14F9" w:rsidRPr="00A35516" w:rsidRDefault="002D14F9" w:rsidP="00AC705F">
      <w:pPr>
        <w:pStyle w:val="Pa6"/>
        <w:jc w:val="both"/>
        <w:rPr>
          <w:rStyle w:val="A5"/>
          <w:rFonts w:ascii="Arial" w:hAnsi="Arial" w:cs="Arial"/>
          <w:color w:val="000000"/>
          <w:sz w:val="24"/>
          <w:szCs w:val="24"/>
          <w:lang w:eastAsia="en-US"/>
        </w:rPr>
      </w:pPr>
      <w:r w:rsidRPr="00A35516">
        <w:rPr>
          <w:rStyle w:val="A5"/>
          <w:rFonts w:ascii="Arial" w:hAnsi="Arial" w:cs="Arial"/>
          <w:b/>
          <w:color w:val="000000"/>
          <w:sz w:val="24"/>
          <w:szCs w:val="24"/>
        </w:rPr>
        <w:t>Communities -</w:t>
      </w:r>
      <w:r w:rsidRPr="00A35516">
        <w:rPr>
          <w:rStyle w:val="A5"/>
          <w:rFonts w:ascii="Arial" w:hAnsi="Arial" w:cs="Arial"/>
          <w:color w:val="000000"/>
          <w:sz w:val="24"/>
          <w:szCs w:val="24"/>
        </w:rPr>
        <w:t xml:space="preserve"> Creating new jobs, breaking down barriers to employment, tackling overcrowding and fuel poverty in our homes and working alongside other services to address health and welfare issues.</w:t>
      </w:r>
    </w:p>
    <w:p w14:paraId="5E9D5818" w14:textId="77777777" w:rsidR="002D14F9" w:rsidRPr="00A35516" w:rsidRDefault="002D14F9" w:rsidP="00AC705F">
      <w:pPr>
        <w:jc w:val="both"/>
        <w:rPr>
          <w:szCs w:val="24"/>
          <w:lang w:eastAsia="en-GB"/>
        </w:rPr>
      </w:pPr>
    </w:p>
    <w:p w14:paraId="554988D4" w14:textId="1884A97A" w:rsidR="002D14F9" w:rsidRDefault="002D14F9" w:rsidP="00AC705F">
      <w:pPr>
        <w:pStyle w:val="Pa6"/>
        <w:jc w:val="both"/>
        <w:rPr>
          <w:rStyle w:val="A5"/>
          <w:rFonts w:ascii="Arial" w:hAnsi="Arial" w:cs="Arial"/>
          <w:color w:val="000000"/>
          <w:sz w:val="24"/>
          <w:szCs w:val="24"/>
        </w:rPr>
      </w:pPr>
      <w:r w:rsidRPr="00A35516">
        <w:rPr>
          <w:rStyle w:val="A5"/>
          <w:rFonts w:ascii="Arial" w:hAnsi="Arial" w:cs="Arial"/>
          <w:b/>
          <w:color w:val="000000"/>
          <w:sz w:val="24"/>
          <w:szCs w:val="24"/>
        </w:rPr>
        <w:t>Business -</w:t>
      </w:r>
      <w:r w:rsidRPr="00A35516">
        <w:rPr>
          <w:rStyle w:val="A5"/>
          <w:rFonts w:ascii="Arial" w:hAnsi="Arial" w:cs="Arial"/>
          <w:color w:val="000000"/>
          <w:sz w:val="24"/>
          <w:szCs w:val="24"/>
        </w:rPr>
        <w:t xml:space="preserve"> Reinforcing our commercial centres, promoting Harrow as an investment location, addressing skills </w:t>
      </w:r>
      <w:r w:rsidR="00857C5B" w:rsidRPr="00A35516">
        <w:rPr>
          <w:rStyle w:val="A5"/>
          <w:rFonts w:ascii="Arial" w:hAnsi="Arial" w:cs="Arial"/>
          <w:color w:val="000000"/>
          <w:sz w:val="24"/>
          <w:szCs w:val="24"/>
        </w:rPr>
        <w:t>shortages,</w:t>
      </w:r>
      <w:r w:rsidRPr="00A35516">
        <w:rPr>
          <w:rStyle w:val="A5"/>
          <w:rFonts w:ascii="Arial" w:hAnsi="Arial" w:cs="Arial"/>
          <w:color w:val="000000"/>
          <w:sz w:val="24"/>
          <w:szCs w:val="24"/>
        </w:rPr>
        <w:t xml:space="preserve"> and supporting new business start ups and developing local supply chains through procurement.</w:t>
      </w:r>
    </w:p>
    <w:p w14:paraId="01130D61" w14:textId="77777777" w:rsidR="00781A91" w:rsidRDefault="00781A91" w:rsidP="00B665A3">
      <w:pPr>
        <w:jc w:val="both"/>
      </w:pPr>
    </w:p>
    <w:p w14:paraId="52F4E5FA" w14:textId="77777777" w:rsidR="00AC705F" w:rsidRDefault="00FA189B" w:rsidP="00B665A3">
      <w:pPr>
        <w:jc w:val="both"/>
      </w:pPr>
      <w:r w:rsidRPr="00B665A3">
        <w:rPr>
          <w:b/>
          <w:lang w:eastAsia="en-GB"/>
        </w:rPr>
        <w:t>2.3</w:t>
      </w:r>
      <w:r>
        <w:rPr>
          <w:lang w:eastAsia="en-GB"/>
        </w:rPr>
        <w:t xml:space="preserve"> </w:t>
      </w:r>
      <w:r w:rsidR="009952A7">
        <w:rPr>
          <w:lang w:eastAsia="en-GB"/>
        </w:rPr>
        <w:t xml:space="preserve">Harrow </w:t>
      </w:r>
      <w:r>
        <w:rPr>
          <w:lang w:eastAsia="en-GB"/>
        </w:rPr>
        <w:t xml:space="preserve">is </w:t>
      </w:r>
      <w:r w:rsidR="009952A7">
        <w:rPr>
          <w:lang w:eastAsia="en-GB"/>
        </w:rPr>
        <w:t>a unique borough and over the past years the</w:t>
      </w:r>
      <w:r>
        <w:rPr>
          <w:lang w:eastAsia="en-GB"/>
        </w:rPr>
        <w:t xml:space="preserve"> </w:t>
      </w:r>
      <w:r w:rsidR="009952A7">
        <w:rPr>
          <w:lang w:eastAsia="en-GB"/>
        </w:rPr>
        <w:t xml:space="preserve">benefits </w:t>
      </w:r>
      <w:r>
        <w:rPr>
          <w:lang w:eastAsia="en-GB"/>
        </w:rPr>
        <w:t xml:space="preserve">of our borough </w:t>
      </w:r>
      <w:r w:rsidR="009952A7">
        <w:rPr>
          <w:lang w:eastAsia="en-GB"/>
        </w:rPr>
        <w:t xml:space="preserve">have been </w:t>
      </w:r>
      <w:r>
        <w:rPr>
          <w:lang w:eastAsia="en-GB"/>
        </w:rPr>
        <w:t xml:space="preserve">recognised by our growing population </w:t>
      </w:r>
      <w:r w:rsidR="009952A7">
        <w:rPr>
          <w:lang w:eastAsia="en-GB"/>
        </w:rPr>
        <w:t xml:space="preserve">and </w:t>
      </w:r>
      <w:r>
        <w:rPr>
          <w:lang w:eastAsia="en-GB"/>
        </w:rPr>
        <w:t xml:space="preserve">increased developer interest in Harrow.  </w:t>
      </w:r>
    </w:p>
    <w:p w14:paraId="18279A51" w14:textId="77777777" w:rsidR="00AC705F" w:rsidRDefault="00AC705F" w:rsidP="00AC705F">
      <w:pPr>
        <w:jc w:val="both"/>
        <w:rPr>
          <w:lang w:eastAsia="en-GB"/>
        </w:rPr>
      </w:pPr>
    </w:p>
    <w:p w14:paraId="4257C2FB" w14:textId="1855F826" w:rsidR="00FA189B" w:rsidRDefault="00AC705F" w:rsidP="00AC705F">
      <w:pPr>
        <w:jc w:val="both"/>
        <w:rPr>
          <w:lang w:eastAsia="en-GB"/>
        </w:rPr>
      </w:pPr>
      <w:r w:rsidRPr="00AC705F">
        <w:rPr>
          <w:b/>
          <w:lang w:eastAsia="en-GB"/>
        </w:rPr>
        <w:t>2.4</w:t>
      </w:r>
      <w:r>
        <w:rPr>
          <w:lang w:eastAsia="en-GB"/>
        </w:rPr>
        <w:t xml:space="preserve"> </w:t>
      </w:r>
      <w:r w:rsidR="00E218E5">
        <w:rPr>
          <w:lang w:eastAsia="en-GB"/>
        </w:rPr>
        <w:t xml:space="preserve">The Councils aim is to </w:t>
      </w:r>
      <w:r w:rsidR="009952A7">
        <w:rPr>
          <w:lang w:eastAsia="en-GB"/>
        </w:rPr>
        <w:t xml:space="preserve">continue to </w:t>
      </w:r>
      <w:r w:rsidR="00E218E5">
        <w:rPr>
          <w:lang w:eastAsia="en-GB"/>
        </w:rPr>
        <w:t xml:space="preserve">promote sustainable communities by encouraging the right type of </w:t>
      </w:r>
      <w:r w:rsidR="00781A91">
        <w:rPr>
          <w:lang w:eastAsia="en-GB"/>
        </w:rPr>
        <w:t>Development and Growth throughout Harrow</w:t>
      </w:r>
      <w:r w:rsidR="00E218E5">
        <w:rPr>
          <w:lang w:eastAsia="en-GB"/>
        </w:rPr>
        <w:t>.  This</w:t>
      </w:r>
      <w:r w:rsidR="00781A91">
        <w:rPr>
          <w:lang w:eastAsia="en-GB"/>
        </w:rPr>
        <w:t xml:space="preserve"> is key to the success of the Regeneration </w:t>
      </w:r>
      <w:r w:rsidR="00E218E5">
        <w:rPr>
          <w:lang w:eastAsia="en-GB"/>
        </w:rPr>
        <w:t>Programme, b</w:t>
      </w:r>
      <w:r w:rsidR="00781A91">
        <w:rPr>
          <w:lang w:eastAsia="en-GB"/>
        </w:rPr>
        <w:t xml:space="preserve">uilding </w:t>
      </w:r>
      <w:r w:rsidR="00E218E5">
        <w:rPr>
          <w:lang w:eastAsia="en-GB"/>
        </w:rPr>
        <w:t xml:space="preserve">in sufficient </w:t>
      </w:r>
      <w:r w:rsidR="00781A91">
        <w:rPr>
          <w:lang w:eastAsia="en-GB"/>
        </w:rPr>
        <w:t xml:space="preserve">infrastructure </w:t>
      </w:r>
      <w:r w:rsidR="00FD4464">
        <w:rPr>
          <w:lang w:eastAsia="en-GB"/>
        </w:rPr>
        <w:t xml:space="preserve">across the borough </w:t>
      </w:r>
      <w:r w:rsidR="009952A7">
        <w:rPr>
          <w:lang w:eastAsia="en-GB"/>
        </w:rPr>
        <w:t>that will</w:t>
      </w:r>
      <w:r w:rsidR="00FD4464">
        <w:rPr>
          <w:lang w:eastAsia="en-GB"/>
        </w:rPr>
        <w:t xml:space="preserve"> invigorate our local economy, attract new businesses and employers to the borough improving employment, </w:t>
      </w:r>
      <w:r w:rsidR="00857C5B">
        <w:rPr>
          <w:lang w:eastAsia="en-GB"/>
        </w:rPr>
        <w:t>education,</w:t>
      </w:r>
      <w:r w:rsidR="00FD4464">
        <w:rPr>
          <w:lang w:eastAsia="en-GB"/>
        </w:rPr>
        <w:t xml:space="preserve"> and work opportunities</w:t>
      </w:r>
      <w:r w:rsidR="009952A7">
        <w:rPr>
          <w:lang w:eastAsia="en-GB"/>
        </w:rPr>
        <w:t xml:space="preserve"> for our residents</w:t>
      </w:r>
      <w:r>
        <w:rPr>
          <w:lang w:eastAsia="en-GB"/>
        </w:rPr>
        <w:t xml:space="preserve">.  </w:t>
      </w:r>
      <w:r w:rsidR="00FD4464">
        <w:rPr>
          <w:lang w:eastAsia="en-GB"/>
        </w:rPr>
        <w:t xml:space="preserve"> Providing a sense of place, well being and </w:t>
      </w:r>
      <w:r w:rsidR="009952A7">
        <w:rPr>
          <w:lang w:eastAsia="en-GB"/>
        </w:rPr>
        <w:t xml:space="preserve">welcome </w:t>
      </w:r>
      <w:r w:rsidR="00FD4464">
        <w:rPr>
          <w:lang w:eastAsia="en-GB"/>
        </w:rPr>
        <w:t xml:space="preserve">community </w:t>
      </w:r>
      <w:r w:rsidR="009952A7">
        <w:rPr>
          <w:lang w:eastAsia="en-GB"/>
        </w:rPr>
        <w:t xml:space="preserve">for all.   Harrow already has a wide ranging and diverse set of communities and the regeneration programme will build on this </w:t>
      </w:r>
      <w:r w:rsidR="00FA189B">
        <w:rPr>
          <w:lang w:eastAsia="en-GB"/>
        </w:rPr>
        <w:t xml:space="preserve">success </w:t>
      </w:r>
      <w:r w:rsidR="009952A7">
        <w:rPr>
          <w:lang w:eastAsia="en-GB"/>
        </w:rPr>
        <w:t xml:space="preserve">by </w:t>
      </w:r>
      <w:r w:rsidR="00FD4464">
        <w:rPr>
          <w:lang w:eastAsia="en-GB"/>
        </w:rPr>
        <w:t xml:space="preserve">encouraging new families and people </w:t>
      </w:r>
      <w:r w:rsidR="00FA189B">
        <w:rPr>
          <w:lang w:eastAsia="en-GB"/>
        </w:rPr>
        <w:t xml:space="preserve">who </w:t>
      </w:r>
      <w:r w:rsidR="009952A7">
        <w:rPr>
          <w:lang w:eastAsia="en-GB"/>
        </w:rPr>
        <w:t xml:space="preserve">want to </w:t>
      </w:r>
      <w:r>
        <w:rPr>
          <w:lang w:eastAsia="en-GB"/>
        </w:rPr>
        <w:t xml:space="preserve">come to live, work and relax </w:t>
      </w:r>
      <w:r w:rsidR="009952A7">
        <w:rPr>
          <w:lang w:eastAsia="en-GB"/>
        </w:rPr>
        <w:t xml:space="preserve">in </w:t>
      </w:r>
      <w:r w:rsidR="00FD4464">
        <w:rPr>
          <w:lang w:eastAsia="en-GB"/>
        </w:rPr>
        <w:t xml:space="preserve">Harrow. </w:t>
      </w:r>
    </w:p>
    <w:p w14:paraId="3BE001CF" w14:textId="77777777" w:rsidR="00FA189B" w:rsidRDefault="00FA189B" w:rsidP="00B665A3">
      <w:pPr>
        <w:jc w:val="both"/>
      </w:pPr>
    </w:p>
    <w:p w14:paraId="1BB227E3" w14:textId="77777777" w:rsidR="00781A91" w:rsidRDefault="00FA189B" w:rsidP="00B665A3">
      <w:pPr>
        <w:jc w:val="both"/>
      </w:pPr>
      <w:r w:rsidRPr="00B665A3">
        <w:rPr>
          <w:b/>
          <w:lang w:eastAsia="en-GB"/>
        </w:rPr>
        <w:t>2.</w:t>
      </w:r>
      <w:r w:rsidR="00AC705F">
        <w:rPr>
          <w:b/>
          <w:lang w:eastAsia="en-GB"/>
        </w:rPr>
        <w:t>5</w:t>
      </w:r>
      <w:r>
        <w:rPr>
          <w:lang w:eastAsia="en-GB"/>
        </w:rPr>
        <w:t xml:space="preserve"> </w:t>
      </w:r>
      <w:r w:rsidR="00781A91">
        <w:rPr>
          <w:lang w:eastAsia="en-GB"/>
        </w:rPr>
        <w:t xml:space="preserve">An update on all Council led schemes and developer led projects is included in </w:t>
      </w:r>
      <w:r w:rsidR="00781A91" w:rsidRPr="00AC705F">
        <w:rPr>
          <w:i/>
          <w:lang w:eastAsia="en-GB"/>
        </w:rPr>
        <w:t>Section</w:t>
      </w:r>
      <w:r w:rsidR="009952A7" w:rsidRPr="00AC705F">
        <w:rPr>
          <w:i/>
          <w:lang w:eastAsia="en-GB"/>
        </w:rPr>
        <w:t xml:space="preserve"> </w:t>
      </w:r>
      <w:r w:rsidR="00AC705F" w:rsidRPr="00AC705F">
        <w:rPr>
          <w:i/>
          <w:lang w:eastAsia="en-GB"/>
        </w:rPr>
        <w:t>4</w:t>
      </w:r>
      <w:r w:rsidR="00AC705F">
        <w:rPr>
          <w:lang w:eastAsia="en-GB"/>
        </w:rPr>
        <w:t xml:space="preserve"> of this report.</w:t>
      </w:r>
      <w:r w:rsidR="00781A91">
        <w:rPr>
          <w:lang w:eastAsia="en-GB"/>
        </w:rPr>
        <w:t xml:space="preserve">  </w:t>
      </w:r>
    </w:p>
    <w:p w14:paraId="1CB0E019" w14:textId="77777777" w:rsidR="00AC705F" w:rsidRDefault="00AC705F" w:rsidP="00AC705F">
      <w:pPr>
        <w:jc w:val="both"/>
        <w:rPr>
          <w:lang w:eastAsia="en-GB"/>
        </w:rPr>
      </w:pPr>
    </w:p>
    <w:p w14:paraId="4891CE23" w14:textId="77777777" w:rsidR="00AC705F" w:rsidRDefault="00AC705F" w:rsidP="00AC705F">
      <w:pPr>
        <w:jc w:val="both"/>
        <w:rPr>
          <w:lang w:eastAsia="en-GB"/>
        </w:rPr>
      </w:pPr>
    </w:p>
    <w:p w14:paraId="1C9DF141" w14:textId="77777777" w:rsidR="00AC705F" w:rsidRDefault="00AC705F" w:rsidP="00AC705F">
      <w:pPr>
        <w:jc w:val="both"/>
        <w:rPr>
          <w:lang w:eastAsia="en-GB"/>
        </w:rPr>
      </w:pPr>
    </w:p>
    <w:p w14:paraId="723D0A99" w14:textId="77777777" w:rsidR="00AC705F" w:rsidRDefault="00AC705F" w:rsidP="00AC705F">
      <w:pPr>
        <w:jc w:val="both"/>
        <w:rPr>
          <w:lang w:eastAsia="en-GB"/>
        </w:rPr>
      </w:pPr>
    </w:p>
    <w:p w14:paraId="2ACC946E" w14:textId="77777777" w:rsidR="00AC705F" w:rsidRPr="00B665A3" w:rsidRDefault="00AC705F" w:rsidP="00AC705F">
      <w:pPr>
        <w:jc w:val="both"/>
        <w:rPr>
          <w:b/>
          <w:sz w:val="32"/>
          <w:szCs w:val="32"/>
          <w:lang w:eastAsia="en-GB"/>
        </w:rPr>
      </w:pPr>
      <w:r w:rsidRPr="00AC705F">
        <w:rPr>
          <w:b/>
          <w:sz w:val="32"/>
          <w:szCs w:val="32"/>
          <w:lang w:eastAsia="en-GB"/>
        </w:rPr>
        <w:lastRenderedPageBreak/>
        <w:t xml:space="preserve">Section 3 – Economic Development </w:t>
      </w:r>
    </w:p>
    <w:p w14:paraId="05671BC1" w14:textId="77777777" w:rsidR="002D14F9" w:rsidRDefault="00234A87" w:rsidP="00AC705F">
      <w:pPr>
        <w:tabs>
          <w:tab w:val="left" w:pos="5733"/>
        </w:tabs>
        <w:ind w:left="720"/>
        <w:jc w:val="both"/>
        <w:rPr>
          <w:lang w:eastAsia="en-GB"/>
        </w:rPr>
      </w:pPr>
      <w:r>
        <w:rPr>
          <w:lang w:eastAsia="en-GB"/>
        </w:rPr>
        <w:tab/>
      </w:r>
    </w:p>
    <w:p w14:paraId="5FA05BC8" w14:textId="4E3AA02E" w:rsidR="002D14F9" w:rsidRDefault="00AC705F" w:rsidP="00AC705F">
      <w:pPr>
        <w:autoSpaceDE w:val="0"/>
        <w:autoSpaceDN w:val="0"/>
        <w:adjustRightInd w:val="0"/>
        <w:jc w:val="both"/>
        <w:rPr>
          <w:rFonts w:eastAsia="Calibri" w:cs="Arial"/>
          <w:color w:val="000000"/>
          <w:szCs w:val="24"/>
          <w:lang w:eastAsia="en-GB"/>
        </w:rPr>
      </w:pPr>
      <w:r>
        <w:rPr>
          <w:b/>
          <w:lang w:eastAsia="en-GB"/>
        </w:rPr>
        <w:t xml:space="preserve">3.1 </w:t>
      </w:r>
      <w:r w:rsidR="002D14F9" w:rsidRPr="008C70A5">
        <w:rPr>
          <w:rFonts w:eastAsia="Calibri" w:cs="Arial"/>
          <w:color w:val="000000"/>
          <w:szCs w:val="24"/>
          <w:lang w:eastAsia="en-GB"/>
        </w:rPr>
        <w:t xml:space="preserve">The </w:t>
      </w:r>
      <w:r w:rsidR="00FA189B">
        <w:rPr>
          <w:rFonts w:eastAsia="Calibri" w:cs="Arial"/>
          <w:color w:val="000000"/>
          <w:szCs w:val="24"/>
          <w:lang w:eastAsia="en-GB"/>
        </w:rPr>
        <w:t xml:space="preserve">Regeneration </w:t>
      </w:r>
      <w:r w:rsidR="002D14F9" w:rsidRPr="008C70A5">
        <w:rPr>
          <w:rFonts w:eastAsia="Calibri" w:cs="Arial"/>
          <w:color w:val="000000"/>
          <w:szCs w:val="24"/>
          <w:lang w:eastAsia="en-GB"/>
        </w:rPr>
        <w:t>Strategy</w:t>
      </w:r>
      <w:r w:rsidR="00372ED0">
        <w:rPr>
          <w:rFonts w:eastAsia="Calibri" w:cs="Arial"/>
          <w:color w:val="000000"/>
          <w:szCs w:val="24"/>
          <w:lang w:eastAsia="en-GB"/>
        </w:rPr>
        <w:t xml:space="preserve"> </w:t>
      </w:r>
      <w:r w:rsidR="00FA189B">
        <w:rPr>
          <w:rFonts w:eastAsia="Calibri" w:cs="Arial"/>
          <w:color w:val="000000"/>
          <w:szCs w:val="24"/>
          <w:lang w:eastAsia="en-GB"/>
        </w:rPr>
        <w:t xml:space="preserve">also outlines </w:t>
      </w:r>
      <w:r w:rsidR="001354E4">
        <w:rPr>
          <w:rFonts w:eastAsia="Calibri" w:cs="Arial"/>
          <w:color w:val="000000"/>
          <w:szCs w:val="24"/>
          <w:lang w:eastAsia="en-GB"/>
        </w:rPr>
        <w:t xml:space="preserve">the Economic </w:t>
      </w:r>
      <w:r w:rsidR="002D14F9" w:rsidRPr="008C70A5">
        <w:rPr>
          <w:rFonts w:eastAsia="Calibri" w:cs="Arial"/>
          <w:color w:val="000000"/>
          <w:szCs w:val="24"/>
          <w:lang w:eastAsia="en-GB"/>
        </w:rPr>
        <w:t xml:space="preserve">Actions, Performance Measures and Outcomes that </w:t>
      </w:r>
      <w:r w:rsidR="00FA189B">
        <w:rPr>
          <w:rFonts w:eastAsia="Calibri" w:cs="Arial"/>
          <w:color w:val="000000"/>
          <w:szCs w:val="24"/>
          <w:lang w:eastAsia="en-GB"/>
        </w:rPr>
        <w:t xml:space="preserve">are anticipated to be achieved and </w:t>
      </w:r>
      <w:r w:rsidR="00857C5B" w:rsidRPr="008C70A5">
        <w:rPr>
          <w:rFonts w:eastAsia="Calibri" w:cs="Arial"/>
          <w:color w:val="000000"/>
          <w:szCs w:val="24"/>
          <w:lang w:eastAsia="en-GB"/>
        </w:rPr>
        <w:t>delivered</w:t>
      </w:r>
      <w:r w:rsidR="00857C5B">
        <w:rPr>
          <w:rFonts w:eastAsia="Calibri" w:cs="Arial"/>
          <w:color w:val="000000"/>
          <w:szCs w:val="24"/>
          <w:lang w:eastAsia="en-GB"/>
        </w:rPr>
        <w:t>.</w:t>
      </w:r>
      <w:r w:rsidR="002D14F9" w:rsidRPr="008C70A5">
        <w:rPr>
          <w:rFonts w:eastAsia="Calibri" w:cs="Arial"/>
          <w:color w:val="000000"/>
          <w:szCs w:val="24"/>
          <w:lang w:eastAsia="en-GB"/>
        </w:rPr>
        <w:t xml:space="preserve"> </w:t>
      </w:r>
    </w:p>
    <w:p w14:paraId="25EDE8FD" w14:textId="77777777" w:rsidR="007D3915" w:rsidRDefault="007D3915" w:rsidP="00AC705F">
      <w:pPr>
        <w:autoSpaceDE w:val="0"/>
        <w:autoSpaceDN w:val="0"/>
        <w:adjustRightInd w:val="0"/>
        <w:jc w:val="both"/>
        <w:rPr>
          <w:rFonts w:eastAsia="Calibri" w:cs="Arial"/>
          <w:color w:val="000000"/>
          <w:szCs w:val="24"/>
          <w:lang w:eastAsia="en-GB"/>
        </w:rPr>
      </w:pPr>
    </w:p>
    <w:p w14:paraId="331009E1" w14:textId="77777777" w:rsidR="007D3915" w:rsidRDefault="001354E4" w:rsidP="00AC705F">
      <w:pPr>
        <w:autoSpaceDE w:val="0"/>
        <w:autoSpaceDN w:val="0"/>
        <w:adjustRightInd w:val="0"/>
        <w:jc w:val="both"/>
        <w:rPr>
          <w:rFonts w:cs="Arial"/>
          <w:szCs w:val="24"/>
        </w:rPr>
      </w:pPr>
      <w:r>
        <w:rPr>
          <w:rFonts w:eastAsia="Calibri" w:cs="Arial"/>
          <w:b/>
          <w:color w:val="000000"/>
          <w:szCs w:val="24"/>
          <w:lang w:eastAsia="en-GB"/>
        </w:rPr>
        <w:t xml:space="preserve">3.2 </w:t>
      </w:r>
      <w:r w:rsidR="00FA189B">
        <w:rPr>
          <w:rFonts w:eastAsia="Calibri" w:cs="Arial"/>
          <w:color w:val="000000"/>
          <w:szCs w:val="24"/>
          <w:lang w:eastAsia="en-GB"/>
        </w:rPr>
        <w:t xml:space="preserve">To support this a </w:t>
      </w:r>
      <w:r w:rsidR="006D49AA">
        <w:rPr>
          <w:rFonts w:eastAsia="Calibri" w:cs="Arial"/>
          <w:color w:val="000000"/>
          <w:szCs w:val="24"/>
          <w:lang w:eastAsia="en-GB"/>
        </w:rPr>
        <w:t xml:space="preserve">detailed </w:t>
      </w:r>
      <w:r w:rsidR="007D3915" w:rsidRPr="00A062AF">
        <w:rPr>
          <w:rFonts w:cs="Arial"/>
          <w:szCs w:val="24"/>
        </w:rPr>
        <w:t xml:space="preserve">Economic </w:t>
      </w:r>
      <w:r w:rsidR="006D49AA">
        <w:rPr>
          <w:rFonts w:cs="Arial"/>
          <w:szCs w:val="24"/>
        </w:rPr>
        <w:t>d</w:t>
      </w:r>
      <w:r w:rsidR="007D3915" w:rsidRPr="00A062AF">
        <w:rPr>
          <w:rFonts w:cs="Arial"/>
          <w:szCs w:val="24"/>
        </w:rPr>
        <w:t xml:space="preserve">ashboard has been </w:t>
      </w:r>
      <w:r w:rsidR="006D49AA">
        <w:rPr>
          <w:rFonts w:cs="Arial"/>
          <w:szCs w:val="24"/>
        </w:rPr>
        <w:t xml:space="preserve">developed to outline a base position with regards </w:t>
      </w:r>
      <w:r w:rsidR="00894203">
        <w:rPr>
          <w:rFonts w:cs="Arial"/>
          <w:szCs w:val="24"/>
        </w:rPr>
        <w:t xml:space="preserve">to </w:t>
      </w:r>
      <w:r w:rsidR="006D49AA">
        <w:rPr>
          <w:rFonts w:cs="Arial"/>
          <w:szCs w:val="24"/>
        </w:rPr>
        <w:t xml:space="preserve">raw </w:t>
      </w:r>
      <w:r w:rsidR="007D3915" w:rsidRPr="00A062AF">
        <w:rPr>
          <w:rFonts w:cs="Arial"/>
          <w:szCs w:val="24"/>
        </w:rPr>
        <w:t xml:space="preserve">data </w:t>
      </w:r>
      <w:r w:rsidR="006D49AA">
        <w:rPr>
          <w:rFonts w:cs="Arial"/>
          <w:szCs w:val="24"/>
        </w:rPr>
        <w:t>gathered</w:t>
      </w:r>
      <w:r w:rsidR="001649FB">
        <w:rPr>
          <w:rFonts w:cs="Arial"/>
          <w:szCs w:val="24"/>
        </w:rPr>
        <w:t>. T</w:t>
      </w:r>
      <w:r w:rsidR="006D49AA">
        <w:rPr>
          <w:rFonts w:cs="Arial"/>
          <w:szCs w:val="24"/>
        </w:rPr>
        <w:t>his will aid in monitoring trends across the various economic areas. The c</w:t>
      </w:r>
      <w:r w:rsidR="007D3915">
        <w:rPr>
          <w:rFonts w:cs="Arial"/>
          <w:szCs w:val="24"/>
        </w:rPr>
        <w:t>urrent data</w:t>
      </w:r>
      <w:r w:rsidR="001649FB">
        <w:rPr>
          <w:rFonts w:cs="Arial"/>
          <w:szCs w:val="24"/>
        </w:rPr>
        <w:t>set</w:t>
      </w:r>
      <w:r w:rsidR="007D3915">
        <w:rPr>
          <w:rFonts w:cs="Arial"/>
          <w:szCs w:val="24"/>
        </w:rPr>
        <w:t xml:space="preserve"> </w:t>
      </w:r>
      <w:r w:rsidR="001649FB">
        <w:rPr>
          <w:rFonts w:cs="Arial"/>
          <w:szCs w:val="24"/>
        </w:rPr>
        <w:t>includes d</w:t>
      </w:r>
      <w:r w:rsidR="00894203">
        <w:rPr>
          <w:rFonts w:cs="Arial"/>
          <w:szCs w:val="24"/>
        </w:rPr>
        <w:t>ata covering the past 12 months up to</w:t>
      </w:r>
      <w:r w:rsidR="006D49AA">
        <w:rPr>
          <w:rFonts w:cs="Arial"/>
          <w:szCs w:val="24"/>
        </w:rPr>
        <w:t xml:space="preserve"> </w:t>
      </w:r>
      <w:r w:rsidR="007D3915">
        <w:rPr>
          <w:rFonts w:cs="Arial"/>
          <w:szCs w:val="24"/>
        </w:rPr>
        <w:t>April 2020</w:t>
      </w:r>
      <w:r w:rsidR="00894203">
        <w:rPr>
          <w:rFonts w:cs="Arial"/>
          <w:szCs w:val="24"/>
        </w:rPr>
        <w:t>. T</w:t>
      </w:r>
      <w:r w:rsidR="006D49AA">
        <w:rPr>
          <w:rFonts w:cs="Arial"/>
          <w:szCs w:val="24"/>
        </w:rPr>
        <w:t xml:space="preserve">his gives the opportunity to </w:t>
      </w:r>
      <w:r w:rsidR="007D3915">
        <w:rPr>
          <w:rFonts w:cs="Arial"/>
          <w:szCs w:val="24"/>
        </w:rPr>
        <w:t xml:space="preserve">reflect on this early dataset in the following sections.  </w:t>
      </w:r>
      <w:r w:rsidR="00FA189B">
        <w:rPr>
          <w:rFonts w:cs="Arial"/>
          <w:szCs w:val="24"/>
        </w:rPr>
        <w:t xml:space="preserve"> </w:t>
      </w:r>
    </w:p>
    <w:p w14:paraId="0957B9A9" w14:textId="77777777" w:rsidR="001354E4" w:rsidRDefault="001354E4" w:rsidP="00AC705F">
      <w:pPr>
        <w:autoSpaceDE w:val="0"/>
        <w:autoSpaceDN w:val="0"/>
        <w:adjustRightInd w:val="0"/>
        <w:jc w:val="both"/>
        <w:rPr>
          <w:rFonts w:cs="Arial"/>
          <w:szCs w:val="24"/>
        </w:rPr>
      </w:pPr>
    </w:p>
    <w:p w14:paraId="057A2F5C" w14:textId="77777777" w:rsidR="002D14F9" w:rsidRPr="001354E4" w:rsidRDefault="001354E4" w:rsidP="00FD61BA">
      <w:pPr>
        <w:autoSpaceDE w:val="0"/>
        <w:autoSpaceDN w:val="0"/>
        <w:adjustRightInd w:val="0"/>
        <w:jc w:val="both"/>
        <w:rPr>
          <w:rFonts w:eastAsia="Calibri" w:cs="Arial"/>
          <w:b/>
          <w:i/>
          <w:color w:val="000000"/>
          <w:szCs w:val="24"/>
          <w:lang w:eastAsia="en-GB"/>
        </w:rPr>
      </w:pPr>
      <w:r>
        <w:rPr>
          <w:rFonts w:eastAsia="Calibri" w:cs="Arial"/>
          <w:b/>
          <w:color w:val="000000"/>
          <w:szCs w:val="24"/>
          <w:lang w:eastAsia="en-GB"/>
        </w:rPr>
        <w:t xml:space="preserve">3.3 </w:t>
      </w:r>
      <w:r w:rsidR="002D14F9" w:rsidRPr="008C70A5">
        <w:rPr>
          <w:rFonts w:eastAsia="Calibri" w:cs="Arial"/>
          <w:color w:val="000000"/>
          <w:szCs w:val="24"/>
          <w:lang w:eastAsia="en-GB"/>
        </w:rPr>
        <w:t xml:space="preserve">The </w:t>
      </w:r>
      <w:r w:rsidR="002D14F9">
        <w:rPr>
          <w:rFonts w:eastAsia="Calibri" w:cs="Arial"/>
          <w:color w:val="000000"/>
          <w:szCs w:val="24"/>
          <w:lang w:eastAsia="en-GB"/>
        </w:rPr>
        <w:t xml:space="preserve">information below outlines </w:t>
      </w:r>
      <w:r w:rsidR="00666631">
        <w:rPr>
          <w:rFonts w:eastAsia="Calibri" w:cs="Arial"/>
          <w:color w:val="000000"/>
          <w:szCs w:val="24"/>
          <w:lang w:eastAsia="en-GB"/>
        </w:rPr>
        <w:t xml:space="preserve">the objectives, key performance measures and delivery for the </w:t>
      </w:r>
      <w:r w:rsidR="00AC705F" w:rsidRPr="001354E4">
        <w:rPr>
          <w:rFonts w:eastAsia="Calibri" w:cs="Arial"/>
          <w:b/>
          <w:i/>
          <w:color w:val="000000"/>
          <w:szCs w:val="24"/>
          <w:lang w:eastAsia="en-GB"/>
        </w:rPr>
        <w:t>“</w:t>
      </w:r>
      <w:r w:rsidR="002D14F9" w:rsidRPr="001354E4">
        <w:rPr>
          <w:rFonts w:eastAsia="Calibri" w:cs="Arial"/>
          <w:b/>
          <w:i/>
          <w:color w:val="000000"/>
          <w:szCs w:val="24"/>
          <w:lang w:eastAsia="en-GB"/>
        </w:rPr>
        <w:t>Heart of Harrow Action Plan</w:t>
      </w:r>
      <w:r w:rsidR="00AC705F" w:rsidRPr="001354E4">
        <w:rPr>
          <w:rFonts w:eastAsia="Calibri" w:cs="Arial"/>
          <w:b/>
          <w:i/>
          <w:color w:val="000000"/>
          <w:szCs w:val="24"/>
          <w:lang w:eastAsia="en-GB"/>
        </w:rPr>
        <w:t>”.</w:t>
      </w:r>
    </w:p>
    <w:p w14:paraId="3B77A148" w14:textId="77777777" w:rsidR="002D14F9" w:rsidRPr="00F83920" w:rsidRDefault="002D14F9" w:rsidP="00FD61BA">
      <w:pPr>
        <w:pStyle w:val="NoSpacing"/>
        <w:jc w:val="both"/>
        <w:rPr>
          <w:rFonts w:ascii="Arial" w:eastAsia="Calibri" w:hAnsi="Arial" w:cs="Arial"/>
        </w:rPr>
      </w:pPr>
    </w:p>
    <w:p w14:paraId="77731E38" w14:textId="237C1AFF" w:rsidR="002D14F9" w:rsidRPr="00A62728" w:rsidRDefault="002D14F9" w:rsidP="00FD61BA">
      <w:pPr>
        <w:pStyle w:val="NoSpacing"/>
        <w:jc w:val="both"/>
        <w:rPr>
          <w:rFonts w:ascii="Arial" w:eastAsia="Calibri" w:hAnsi="Arial" w:cs="Arial"/>
          <w:sz w:val="24"/>
        </w:rPr>
      </w:pPr>
      <w:r w:rsidRPr="00A62728">
        <w:rPr>
          <w:rFonts w:ascii="Arial" w:eastAsia="Calibri" w:hAnsi="Arial" w:cs="Arial"/>
          <w:b/>
          <w:sz w:val="24"/>
        </w:rPr>
        <w:t>Performance Measure:</w:t>
      </w:r>
      <w:r w:rsidRPr="00A62728">
        <w:rPr>
          <w:rFonts w:ascii="Arial" w:eastAsia="Calibri" w:hAnsi="Arial" w:cs="Arial"/>
          <w:sz w:val="24"/>
        </w:rPr>
        <w:t xml:space="preserve">  </w:t>
      </w:r>
      <w:r w:rsidR="00666631">
        <w:rPr>
          <w:rFonts w:ascii="Arial" w:eastAsia="Calibri" w:hAnsi="Arial" w:cs="Arial"/>
          <w:sz w:val="24"/>
        </w:rPr>
        <w:t>To provide n</w:t>
      </w:r>
      <w:r w:rsidRPr="00A62728">
        <w:rPr>
          <w:rFonts w:ascii="Arial" w:eastAsia="Calibri" w:hAnsi="Arial" w:cs="Arial"/>
          <w:sz w:val="24"/>
        </w:rPr>
        <w:t xml:space="preserve">ew homes </w:t>
      </w:r>
      <w:r w:rsidR="00E13F46">
        <w:rPr>
          <w:rFonts w:ascii="Arial" w:eastAsia="Calibri" w:hAnsi="Arial" w:cs="Arial"/>
          <w:sz w:val="24"/>
        </w:rPr>
        <w:t xml:space="preserve">and </w:t>
      </w:r>
      <w:r w:rsidRPr="00A62728">
        <w:rPr>
          <w:rFonts w:ascii="Arial" w:eastAsia="Calibri" w:hAnsi="Arial" w:cs="Arial"/>
          <w:sz w:val="24"/>
        </w:rPr>
        <w:t>new jobs created</w:t>
      </w:r>
      <w:r w:rsidR="003E5907">
        <w:rPr>
          <w:rFonts w:ascii="Arial" w:eastAsia="Calibri" w:hAnsi="Arial" w:cs="Arial"/>
          <w:sz w:val="24"/>
        </w:rPr>
        <w:t xml:space="preserve"> </w:t>
      </w:r>
      <w:r w:rsidR="00857C5B" w:rsidRPr="00A62728">
        <w:rPr>
          <w:rFonts w:ascii="Arial" w:eastAsia="Calibri" w:hAnsi="Arial" w:cs="Arial"/>
          <w:sz w:val="24"/>
        </w:rPr>
        <w:t>including</w:t>
      </w:r>
      <w:r w:rsidRPr="00A62728">
        <w:rPr>
          <w:rFonts w:ascii="Arial" w:eastAsia="Calibri" w:hAnsi="Arial" w:cs="Arial"/>
          <w:sz w:val="24"/>
        </w:rPr>
        <w:t xml:space="preserve"> apprenticeships, local </w:t>
      </w:r>
      <w:r w:rsidRPr="00FD61BA">
        <w:rPr>
          <w:rFonts w:ascii="Arial" w:eastAsia="Calibri" w:hAnsi="Arial" w:cs="Arial"/>
          <w:sz w:val="24"/>
          <w:lang w:val="en-GB"/>
        </w:rPr>
        <w:t>labour</w:t>
      </w:r>
      <w:r w:rsidRPr="00A62728">
        <w:rPr>
          <w:rFonts w:ascii="Arial" w:eastAsia="Calibri" w:hAnsi="Arial" w:cs="Arial"/>
          <w:sz w:val="24"/>
        </w:rPr>
        <w:t>, private sector investment, new commercial space, new business</w:t>
      </w:r>
      <w:r w:rsidR="003E5907">
        <w:rPr>
          <w:rFonts w:ascii="Arial" w:eastAsia="Calibri" w:hAnsi="Arial" w:cs="Arial"/>
          <w:sz w:val="24"/>
        </w:rPr>
        <w:t>es</w:t>
      </w:r>
      <w:r w:rsidRPr="00A62728">
        <w:rPr>
          <w:rFonts w:ascii="Arial" w:eastAsia="Calibri" w:hAnsi="Arial" w:cs="Arial"/>
          <w:sz w:val="24"/>
        </w:rPr>
        <w:t xml:space="preserve"> located in Harrow and to progress against infrastructure delivery plan.</w:t>
      </w:r>
    </w:p>
    <w:p w14:paraId="165B4D19" w14:textId="77777777" w:rsidR="002D14F9" w:rsidRPr="00A62728" w:rsidRDefault="002D14F9" w:rsidP="00FD61BA">
      <w:pPr>
        <w:pStyle w:val="NoSpacing"/>
        <w:jc w:val="both"/>
        <w:rPr>
          <w:rFonts w:ascii="Arial" w:eastAsia="Calibri" w:hAnsi="Arial" w:cs="Arial"/>
          <w:sz w:val="24"/>
        </w:rPr>
      </w:pPr>
    </w:p>
    <w:p w14:paraId="47A96A35" w14:textId="050438D4" w:rsidR="002D14F9" w:rsidRPr="00A62728" w:rsidRDefault="002D14F9" w:rsidP="00FD61BA">
      <w:pPr>
        <w:pStyle w:val="NoSpacing"/>
        <w:jc w:val="both"/>
        <w:rPr>
          <w:rFonts w:ascii="Arial" w:eastAsia="Calibri" w:hAnsi="Arial" w:cs="Arial"/>
          <w:sz w:val="24"/>
        </w:rPr>
      </w:pPr>
      <w:r w:rsidRPr="00A62728">
        <w:rPr>
          <w:rFonts w:ascii="Arial" w:eastAsia="Calibri" w:hAnsi="Arial" w:cs="Arial"/>
          <w:b/>
          <w:sz w:val="24"/>
        </w:rPr>
        <w:t>Outcome:</w:t>
      </w:r>
      <w:r>
        <w:rPr>
          <w:rFonts w:ascii="Arial" w:eastAsia="Calibri" w:hAnsi="Arial" w:cs="Arial"/>
          <w:sz w:val="24"/>
        </w:rPr>
        <w:t xml:space="preserve"> </w:t>
      </w:r>
      <w:r w:rsidR="00666631">
        <w:rPr>
          <w:rFonts w:ascii="Arial" w:eastAsia="Calibri" w:hAnsi="Arial" w:cs="Arial"/>
          <w:sz w:val="24"/>
        </w:rPr>
        <w:t>To achieve the d</w:t>
      </w:r>
      <w:r w:rsidRPr="00A62728">
        <w:rPr>
          <w:rFonts w:ascii="Arial" w:eastAsia="Calibri" w:hAnsi="Arial" w:cs="Arial"/>
          <w:sz w:val="24"/>
        </w:rPr>
        <w:t xml:space="preserve">evelopment </w:t>
      </w:r>
      <w:r w:rsidRPr="00FD61BA">
        <w:rPr>
          <w:rFonts w:ascii="Arial" w:eastAsia="Calibri" w:hAnsi="Arial" w:cs="Arial"/>
          <w:sz w:val="24"/>
          <w:lang w:val="en-GB"/>
        </w:rPr>
        <w:t>programme</w:t>
      </w:r>
      <w:r w:rsidRPr="00A62728">
        <w:rPr>
          <w:rFonts w:ascii="Arial" w:eastAsia="Calibri" w:hAnsi="Arial" w:cs="Arial"/>
          <w:sz w:val="24"/>
        </w:rPr>
        <w:t xml:space="preserve"> </w:t>
      </w:r>
      <w:r w:rsidR="00666631">
        <w:rPr>
          <w:rFonts w:ascii="Arial" w:eastAsia="Calibri" w:hAnsi="Arial" w:cs="Arial"/>
          <w:sz w:val="24"/>
        </w:rPr>
        <w:t xml:space="preserve">to be </w:t>
      </w:r>
      <w:r w:rsidRPr="00A62728">
        <w:rPr>
          <w:rFonts w:ascii="Arial" w:eastAsia="Calibri" w:hAnsi="Arial" w:cs="Arial"/>
          <w:sz w:val="24"/>
        </w:rPr>
        <w:t xml:space="preserve">delivered, improve town </w:t>
      </w:r>
      <w:r w:rsidRPr="00FD61BA">
        <w:rPr>
          <w:rFonts w:ascii="Arial" w:eastAsia="Calibri" w:hAnsi="Arial" w:cs="Arial"/>
          <w:sz w:val="24"/>
          <w:lang w:val="en-GB"/>
        </w:rPr>
        <w:t>centre</w:t>
      </w:r>
      <w:r w:rsidRPr="00A62728">
        <w:rPr>
          <w:rFonts w:ascii="Arial" w:eastAsia="Calibri" w:hAnsi="Arial" w:cs="Arial"/>
          <w:sz w:val="24"/>
        </w:rPr>
        <w:t xml:space="preserve"> facilities, </w:t>
      </w:r>
      <w:r w:rsidR="00857C5B" w:rsidRPr="00A62728">
        <w:rPr>
          <w:rFonts w:ascii="Arial" w:eastAsia="Calibri" w:hAnsi="Arial" w:cs="Arial"/>
          <w:sz w:val="24"/>
        </w:rPr>
        <w:t>renew,</w:t>
      </w:r>
      <w:r w:rsidRPr="00A62728">
        <w:rPr>
          <w:rFonts w:ascii="Arial" w:eastAsia="Calibri" w:hAnsi="Arial" w:cs="Arial"/>
          <w:sz w:val="24"/>
        </w:rPr>
        <w:t xml:space="preserve"> and expand housing stock, </w:t>
      </w:r>
      <w:r w:rsidR="00666631">
        <w:rPr>
          <w:rFonts w:ascii="Arial" w:eastAsia="Calibri" w:hAnsi="Arial" w:cs="Arial"/>
          <w:sz w:val="24"/>
        </w:rPr>
        <w:t xml:space="preserve">promote </w:t>
      </w:r>
      <w:r w:rsidRPr="00A62728">
        <w:rPr>
          <w:rFonts w:ascii="Arial" w:eastAsia="Calibri" w:hAnsi="Arial" w:cs="Arial"/>
          <w:sz w:val="24"/>
        </w:rPr>
        <w:t>healthier communit</w:t>
      </w:r>
      <w:r w:rsidR="00666631">
        <w:rPr>
          <w:rFonts w:ascii="Arial" w:eastAsia="Calibri" w:hAnsi="Arial" w:cs="Arial"/>
          <w:sz w:val="24"/>
        </w:rPr>
        <w:t>ies</w:t>
      </w:r>
      <w:r w:rsidR="003E5907">
        <w:rPr>
          <w:rFonts w:ascii="Arial" w:eastAsia="Calibri" w:hAnsi="Arial" w:cs="Arial"/>
          <w:sz w:val="24"/>
        </w:rPr>
        <w:t>, i</w:t>
      </w:r>
      <w:r w:rsidRPr="00A62728">
        <w:rPr>
          <w:rFonts w:ascii="Arial" w:eastAsia="Calibri" w:hAnsi="Arial" w:cs="Arial"/>
          <w:sz w:val="24"/>
        </w:rPr>
        <w:t xml:space="preserve">ncrease economic </w:t>
      </w:r>
      <w:r w:rsidR="00857C5B" w:rsidRPr="00A62728">
        <w:rPr>
          <w:rFonts w:ascii="Arial" w:eastAsia="Calibri" w:hAnsi="Arial" w:cs="Arial"/>
          <w:sz w:val="24"/>
        </w:rPr>
        <w:t>activity,</w:t>
      </w:r>
      <w:r w:rsidRPr="00A62728">
        <w:rPr>
          <w:rFonts w:ascii="Arial" w:eastAsia="Calibri" w:hAnsi="Arial" w:cs="Arial"/>
          <w:sz w:val="24"/>
        </w:rPr>
        <w:t xml:space="preserve"> and </w:t>
      </w:r>
      <w:r w:rsidR="00666631">
        <w:rPr>
          <w:rFonts w:ascii="Arial" w:eastAsia="Calibri" w:hAnsi="Arial" w:cs="Arial"/>
          <w:sz w:val="24"/>
        </w:rPr>
        <w:t xml:space="preserve">provide a </w:t>
      </w:r>
      <w:r w:rsidRPr="00A62728">
        <w:rPr>
          <w:rFonts w:ascii="Arial" w:eastAsia="Calibri" w:hAnsi="Arial" w:cs="Arial"/>
          <w:sz w:val="24"/>
        </w:rPr>
        <w:t>resilient business base.</w:t>
      </w:r>
    </w:p>
    <w:p w14:paraId="495C60F3" w14:textId="77777777" w:rsidR="002D14F9" w:rsidRPr="00A62728" w:rsidRDefault="002D14F9" w:rsidP="00FD61BA">
      <w:pPr>
        <w:pStyle w:val="NoSpacing"/>
        <w:jc w:val="both"/>
        <w:rPr>
          <w:rFonts w:ascii="Arial" w:eastAsia="Calibri" w:hAnsi="Arial" w:cs="Arial"/>
          <w:sz w:val="24"/>
        </w:rPr>
      </w:pPr>
    </w:p>
    <w:p w14:paraId="7800211E" w14:textId="77777777" w:rsidR="002A2FCC" w:rsidRDefault="00666631" w:rsidP="00FD61BA">
      <w:pPr>
        <w:pStyle w:val="NoSpacing"/>
        <w:jc w:val="both"/>
        <w:rPr>
          <w:rFonts w:ascii="Arial" w:eastAsia="Calibri" w:hAnsi="Arial" w:cs="Arial"/>
          <w:sz w:val="24"/>
        </w:rPr>
      </w:pPr>
      <w:r>
        <w:rPr>
          <w:rFonts w:ascii="Arial" w:eastAsia="Calibri" w:hAnsi="Arial" w:cs="Arial"/>
          <w:b/>
          <w:sz w:val="24"/>
        </w:rPr>
        <w:t xml:space="preserve">Performance </w:t>
      </w:r>
      <w:r w:rsidR="001354E4">
        <w:rPr>
          <w:rFonts w:ascii="Arial" w:eastAsia="Calibri" w:hAnsi="Arial" w:cs="Arial"/>
          <w:b/>
          <w:sz w:val="24"/>
        </w:rPr>
        <w:t>t</w:t>
      </w:r>
      <w:r>
        <w:rPr>
          <w:rFonts w:ascii="Arial" w:eastAsia="Calibri" w:hAnsi="Arial" w:cs="Arial"/>
          <w:b/>
          <w:sz w:val="24"/>
        </w:rPr>
        <w:t xml:space="preserve">o </w:t>
      </w:r>
      <w:r w:rsidR="001354E4">
        <w:rPr>
          <w:rFonts w:ascii="Arial" w:eastAsia="Calibri" w:hAnsi="Arial" w:cs="Arial"/>
          <w:b/>
          <w:sz w:val="24"/>
        </w:rPr>
        <w:t>d</w:t>
      </w:r>
      <w:r>
        <w:rPr>
          <w:rFonts w:ascii="Arial" w:eastAsia="Calibri" w:hAnsi="Arial" w:cs="Arial"/>
          <w:b/>
          <w:sz w:val="24"/>
        </w:rPr>
        <w:t>ate:</w:t>
      </w:r>
    </w:p>
    <w:p w14:paraId="380369BE" w14:textId="77777777" w:rsidR="002A2FCC" w:rsidRDefault="002A2FCC" w:rsidP="00FD61BA">
      <w:pPr>
        <w:pStyle w:val="NoSpacing"/>
        <w:jc w:val="both"/>
        <w:rPr>
          <w:rFonts w:ascii="Arial" w:eastAsia="Calibri" w:hAnsi="Arial" w:cs="Arial"/>
          <w:sz w:val="24"/>
        </w:rPr>
      </w:pPr>
    </w:p>
    <w:p w14:paraId="75FC82F3" w14:textId="77777777" w:rsidR="00E252E3" w:rsidRPr="002A2FCC" w:rsidRDefault="00CD521B" w:rsidP="00FD61BA">
      <w:pPr>
        <w:pStyle w:val="NoSpacing"/>
        <w:jc w:val="both"/>
        <w:rPr>
          <w:rFonts w:ascii="Arial" w:eastAsia="Calibri" w:hAnsi="Arial" w:cs="Arial"/>
          <w:b/>
          <w:sz w:val="24"/>
        </w:rPr>
      </w:pPr>
      <w:r>
        <w:rPr>
          <w:rFonts w:ascii="Arial" w:eastAsia="Calibri" w:hAnsi="Arial" w:cs="Arial"/>
          <w:b/>
          <w:sz w:val="24"/>
        </w:rPr>
        <w:t xml:space="preserve">3.4 </w:t>
      </w:r>
      <w:r w:rsidR="002A2FCC" w:rsidRPr="002A2FCC">
        <w:rPr>
          <w:rFonts w:ascii="Arial" w:eastAsia="Calibri" w:hAnsi="Arial" w:cs="Arial"/>
          <w:b/>
          <w:sz w:val="24"/>
        </w:rPr>
        <w:t>New Homes</w:t>
      </w:r>
      <w:r w:rsidR="00666631">
        <w:rPr>
          <w:rFonts w:ascii="Arial" w:eastAsia="Calibri" w:hAnsi="Arial" w:cs="Arial"/>
          <w:b/>
          <w:sz w:val="24"/>
        </w:rPr>
        <w:t xml:space="preserve">: </w:t>
      </w:r>
    </w:p>
    <w:tbl>
      <w:tblPr>
        <w:tblStyle w:val="TableList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7"/>
        <w:gridCol w:w="1619"/>
      </w:tblGrid>
      <w:tr w:rsidR="002A2FCC" w14:paraId="710B58BD" w14:textId="77777777" w:rsidTr="008A400D">
        <w:trPr>
          <w:cnfStyle w:val="100000000000" w:firstRow="1" w:lastRow="0" w:firstColumn="0" w:lastColumn="0" w:oddVBand="0" w:evenVBand="0" w:oddHBand="0" w:evenHBand="0" w:firstRowFirstColumn="0" w:firstRowLastColumn="0" w:lastRowFirstColumn="0" w:lastRowLastColumn="0"/>
          <w:trHeight w:val="262"/>
          <w:jc w:val="center"/>
        </w:trPr>
        <w:tc>
          <w:tcPr>
            <w:tcW w:w="6617" w:type="dxa"/>
            <w:tcBorders>
              <w:bottom w:val="none" w:sz="0" w:space="0" w:color="auto"/>
            </w:tcBorders>
          </w:tcPr>
          <w:p w14:paraId="733897D0" w14:textId="77777777" w:rsidR="002A2FCC" w:rsidRDefault="002A2FCC" w:rsidP="00FD61BA">
            <w:pPr>
              <w:pStyle w:val="NoSpacing"/>
              <w:jc w:val="both"/>
              <w:rPr>
                <w:rFonts w:ascii="Arial" w:eastAsia="Calibri" w:hAnsi="Arial" w:cs="Arial"/>
                <w:sz w:val="24"/>
              </w:rPr>
            </w:pPr>
            <w:r>
              <w:rPr>
                <w:rFonts w:ascii="Arial" w:eastAsia="Calibri" w:hAnsi="Arial" w:cs="Arial"/>
                <w:sz w:val="24"/>
              </w:rPr>
              <w:t>Measure</w:t>
            </w:r>
          </w:p>
        </w:tc>
        <w:tc>
          <w:tcPr>
            <w:tcW w:w="1619" w:type="dxa"/>
            <w:tcBorders>
              <w:bottom w:val="none" w:sz="0" w:space="0" w:color="auto"/>
            </w:tcBorders>
          </w:tcPr>
          <w:p w14:paraId="5D250A5C" w14:textId="77777777" w:rsidR="002A2FCC" w:rsidRDefault="002A2FCC" w:rsidP="00FD61BA">
            <w:pPr>
              <w:pStyle w:val="NoSpacing"/>
              <w:jc w:val="both"/>
              <w:rPr>
                <w:rFonts w:ascii="Arial" w:eastAsia="Calibri" w:hAnsi="Arial" w:cs="Arial"/>
                <w:sz w:val="24"/>
              </w:rPr>
            </w:pPr>
            <w:r>
              <w:rPr>
                <w:rFonts w:ascii="Arial" w:eastAsia="Calibri" w:hAnsi="Arial" w:cs="Arial"/>
                <w:sz w:val="24"/>
              </w:rPr>
              <w:t>Quantity</w:t>
            </w:r>
          </w:p>
        </w:tc>
      </w:tr>
      <w:tr w:rsidR="002A2FCC" w14:paraId="6D42225E" w14:textId="77777777" w:rsidTr="008A400D">
        <w:trPr>
          <w:trHeight w:val="250"/>
          <w:jc w:val="center"/>
        </w:trPr>
        <w:tc>
          <w:tcPr>
            <w:tcW w:w="6617" w:type="dxa"/>
          </w:tcPr>
          <w:p w14:paraId="5B584B63" w14:textId="77777777" w:rsidR="002A2FCC" w:rsidRDefault="002A2FCC" w:rsidP="00FD61BA">
            <w:pPr>
              <w:pStyle w:val="NoSpacing"/>
              <w:jc w:val="both"/>
              <w:rPr>
                <w:rFonts w:ascii="Arial" w:eastAsia="Calibri" w:hAnsi="Arial" w:cs="Arial"/>
                <w:sz w:val="24"/>
              </w:rPr>
            </w:pPr>
            <w:r>
              <w:rPr>
                <w:rFonts w:ascii="Arial" w:eastAsia="Calibri" w:hAnsi="Arial" w:cs="Arial"/>
                <w:sz w:val="24"/>
              </w:rPr>
              <w:t xml:space="preserve">Net Housing Completions </w:t>
            </w:r>
            <w:r w:rsidR="00105907">
              <w:rPr>
                <w:rFonts w:ascii="Arial" w:eastAsia="Calibri" w:hAnsi="Arial" w:cs="Arial"/>
                <w:sz w:val="24"/>
              </w:rPr>
              <w:t>from 1/4/1</w:t>
            </w:r>
            <w:r w:rsidR="00EA6D7B">
              <w:rPr>
                <w:rFonts w:ascii="Arial" w:eastAsia="Calibri" w:hAnsi="Arial" w:cs="Arial"/>
                <w:sz w:val="24"/>
              </w:rPr>
              <w:t>4</w:t>
            </w:r>
            <w:r w:rsidR="00105907">
              <w:rPr>
                <w:rFonts w:ascii="Arial" w:eastAsia="Calibri" w:hAnsi="Arial" w:cs="Arial"/>
                <w:sz w:val="24"/>
              </w:rPr>
              <w:t xml:space="preserve"> to 31/5/19</w:t>
            </w:r>
          </w:p>
        </w:tc>
        <w:tc>
          <w:tcPr>
            <w:tcW w:w="1619" w:type="dxa"/>
          </w:tcPr>
          <w:p w14:paraId="6550F133" w14:textId="77777777" w:rsidR="002A2FCC" w:rsidRDefault="002A2FCC" w:rsidP="00FD61BA">
            <w:pPr>
              <w:pStyle w:val="NoSpacing"/>
              <w:jc w:val="both"/>
              <w:rPr>
                <w:rFonts w:ascii="Arial" w:eastAsia="Calibri" w:hAnsi="Arial" w:cs="Arial"/>
                <w:sz w:val="24"/>
              </w:rPr>
            </w:pPr>
            <w:r>
              <w:rPr>
                <w:rFonts w:ascii="Arial" w:eastAsia="Calibri" w:hAnsi="Arial" w:cs="Arial"/>
                <w:sz w:val="24"/>
              </w:rPr>
              <w:t xml:space="preserve">4,027 </w:t>
            </w:r>
          </w:p>
        </w:tc>
      </w:tr>
      <w:tr w:rsidR="002A2FCC" w14:paraId="4C59F28E" w14:textId="77777777" w:rsidTr="008A400D">
        <w:trPr>
          <w:trHeight w:val="250"/>
          <w:jc w:val="center"/>
        </w:trPr>
        <w:tc>
          <w:tcPr>
            <w:tcW w:w="6617" w:type="dxa"/>
          </w:tcPr>
          <w:p w14:paraId="1D2D5F1F" w14:textId="77777777" w:rsidR="002A2FCC" w:rsidRDefault="002A2FCC" w:rsidP="00FD61BA">
            <w:pPr>
              <w:pStyle w:val="NoSpacing"/>
              <w:jc w:val="both"/>
              <w:rPr>
                <w:rFonts w:ascii="Arial" w:eastAsia="Calibri" w:hAnsi="Arial" w:cs="Arial"/>
                <w:sz w:val="24"/>
              </w:rPr>
            </w:pPr>
            <w:r>
              <w:rPr>
                <w:rFonts w:ascii="Arial" w:eastAsia="Calibri" w:hAnsi="Arial" w:cs="Arial"/>
                <w:sz w:val="24"/>
              </w:rPr>
              <w:t>Homes within the opportunity area</w:t>
            </w:r>
            <w:r w:rsidR="00666631">
              <w:rPr>
                <w:rFonts w:ascii="Arial" w:eastAsia="Calibri" w:hAnsi="Arial" w:cs="Arial"/>
                <w:sz w:val="24"/>
              </w:rPr>
              <w:t xml:space="preserve"> (47.5%)</w:t>
            </w:r>
          </w:p>
        </w:tc>
        <w:tc>
          <w:tcPr>
            <w:tcW w:w="1619" w:type="dxa"/>
          </w:tcPr>
          <w:p w14:paraId="70A6DC2F" w14:textId="77777777" w:rsidR="002A2FCC" w:rsidRDefault="002A2FCC" w:rsidP="00FD61BA">
            <w:pPr>
              <w:pStyle w:val="NoSpacing"/>
              <w:jc w:val="both"/>
              <w:rPr>
                <w:rFonts w:ascii="Arial" w:eastAsia="Calibri" w:hAnsi="Arial" w:cs="Arial"/>
                <w:sz w:val="24"/>
              </w:rPr>
            </w:pPr>
            <w:r>
              <w:rPr>
                <w:rFonts w:ascii="Arial" w:eastAsia="Calibri" w:hAnsi="Arial" w:cs="Arial"/>
                <w:sz w:val="24"/>
              </w:rPr>
              <w:t>1,914</w:t>
            </w:r>
          </w:p>
        </w:tc>
      </w:tr>
    </w:tbl>
    <w:p w14:paraId="31BB189D" w14:textId="77777777" w:rsidR="002A2FCC" w:rsidRDefault="002A2FCC" w:rsidP="00FD61BA">
      <w:pPr>
        <w:pStyle w:val="NoSpacing"/>
        <w:jc w:val="both"/>
        <w:rPr>
          <w:rFonts w:ascii="Arial" w:eastAsia="Calibri" w:hAnsi="Arial" w:cs="Arial"/>
          <w:sz w:val="24"/>
        </w:rPr>
      </w:pPr>
    </w:p>
    <w:p w14:paraId="71AC0F81" w14:textId="77777777" w:rsidR="002A2FCC" w:rsidRDefault="002A2FCC" w:rsidP="00FD61BA">
      <w:pPr>
        <w:pStyle w:val="NoSpacing"/>
        <w:jc w:val="both"/>
        <w:rPr>
          <w:rFonts w:ascii="Arial" w:eastAsia="Calibri" w:hAnsi="Arial" w:cs="Arial"/>
          <w:sz w:val="24"/>
        </w:rPr>
      </w:pPr>
    </w:p>
    <w:p w14:paraId="70DBCB36" w14:textId="77777777" w:rsidR="002A2FCC" w:rsidRPr="002A2FCC" w:rsidRDefault="00CD521B" w:rsidP="00FD61BA">
      <w:pPr>
        <w:pStyle w:val="NoSpacing"/>
        <w:jc w:val="both"/>
        <w:rPr>
          <w:rFonts w:ascii="Arial" w:eastAsia="Calibri" w:hAnsi="Arial" w:cs="Arial"/>
          <w:b/>
          <w:sz w:val="24"/>
        </w:rPr>
      </w:pPr>
      <w:r>
        <w:rPr>
          <w:rFonts w:ascii="Arial" w:eastAsia="Calibri" w:hAnsi="Arial" w:cs="Arial"/>
          <w:b/>
          <w:sz w:val="24"/>
        </w:rPr>
        <w:t xml:space="preserve">3.5 </w:t>
      </w:r>
      <w:r w:rsidR="002A2FCC" w:rsidRPr="002A2FCC">
        <w:rPr>
          <w:rFonts w:ascii="Arial" w:eastAsia="Calibri" w:hAnsi="Arial" w:cs="Arial"/>
          <w:b/>
          <w:sz w:val="24"/>
        </w:rPr>
        <w:t>Employment</w:t>
      </w:r>
      <w:r w:rsidR="00666631">
        <w:rPr>
          <w:rFonts w:ascii="Arial" w:eastAsia="Calibri" w:hAnsi="Arial" w:cs="Arial"/>
          <w:b/>
          <w:sz w:val="24"/>
        </w:rPr>
        <w:t>:</w:t>
      </w:r>
    </w:p>
    <w:p w14:paraId="3B0FC07E" w14:textId="0AA84EF5" w:rsidR="007D3915" w:rsidRDefault="005F7AA7" w:rsidP="00FD61BA">
      <w:pPr>
        <w:pStyle w:val="NoSpacing"/>
        <w:jc w:val="both"/>
        <w:rPr>
          <w:rFonts w:ascii="Arial" w:eastAsia="Calibri" w:hAnsi="Arial" w:cs="Arial"/>
          <w:sz w:val="24"/>
          <w:lang w:val="en-GB"/>
        </w:rPr>
      </w:pPr>
      <w:r w:rsidRPr="00AC6C41">
        <w:rPr>
          <w:rFonts w:ascii="Arial" w:eastAsia="Calibri" w:hAnsi="Arial" w:cs="Arial"/>
          <w:sz w:val="24"/>
          <w:lang w:val="en-GB"/>
        </w:rPr>
        <w:t xml:space="preserve">The </w:t>
      </w:r>
      <w:r w:rsidR="001C1AF4">
        <w:rPr>
          <w:rFonts w:ascii="Arial" w:eastAsia="Calibri" w:hAnsi="Arial" w:cs="Arial"/>
          <w:sz w:val="24"/>
          <w:lang w:val="en-GB"/>
        </w:rPr>
        <w:t>C</w:t>
      </w:r>
      <w:r w:rsidRPr="00AC6C41">
        <w:rPr>
          <w:rFonts w:ascii="Arial" w:eastAsia="Calibri" w:hAnsi="Arial" w:cs="Arial"/>
          <w:sz w:val="24"/>
          <w:lang w:val="en-GB"/>
        </w:rPr>
        <w:t xml:space="preserve">ouncil’s </w:t>
      </w:r>
      <w:r w:rsidR="001C1AF4">
        <w:rPr>
          <w:rFonts w:ascii="Arial" w:eastAsia="Calibri" w:hAnsi="Arial" w:cs="Arial"/>
          <w:sz w:val="24"/>
          <w:lang w:val="en-GB"/>
        </w:rPr>
        <w:t xml:space="preserve">application of </w:t>
      </w:r>
      <w:r w:rsidRPr="00AC6C41">
        <w:rPr>
          <w:rFonts w:ascii="Arial" w:eastAsia="Calibri" w:hAnsi="Arial" w:cs="Arial"/>
          <w:sz w:val="24"/>
          <w:lang w:val="en-GB"/>
        </w:rPr>
        <w:t xml:space="preserve">Procurement and Planning Policies </w:t>
      </w:r>
      <w:r w:rsidR="00026289">
        <w:rPr>
          <w:rFonts w:ascii="Arial" w:eastAsia="Calibri" w:hAnsi="Arial" w:cs="Arial"/>
          <w:sz w:val="24"/>
          <w:lang w:val="en-GB"/>
        </w:rPr>
        <w:t>together with the</w:t>
      </w:r>
      <w:r w:rsidR="00026289" w:rsidRPr="00AC6C41">
        <w:rPr>
          <w:rFonts w:ascii="Arial" w:eastAsia="Calibri" w:hAnsi="Arial" w:cs="Arial"/>
          <w:sz w:val="24"/>
          <w:lang w:val="en-GB"/>
        </w:rPr>
        <w:t xml:space="preserve"> </w:t>
      </w:r>
      <w:r w:rsidRPr="00AC6C41">
        <w:rPr>
          <w:rFonts w:ascii="Arial" w:eastAsia="Calibri" w:hAnsi="Arial" w:cs="Arial"/>
          <w:sz w:val="24"/>
          <w:lang w:val="en-GB"/>
        </w:rPr>
        <w:t xml:space="preserve">Economic Development employment projects </w:t>
      </w:r>
      <w:r w:rsidR="00372ED0" w:rsidRPr="00AC6C41">
        <w:rPr>
          <w:rFonts w:ascii="Arial" w:eastAsia="Calibri" w:hAnsi="Arial" w:cs="Arial"/>
          <w:sz w:val="24"/>
          <w:lang w:val="en-GB"/>
        </w:rPr>
        <w:t>ha</w:t>
      </w:r>
      <w:r w:rsidR="00372ED0">
        <w:rPr>
          <w:rFonts w:ascii="Arial" w:eastAsia="Calibri" w:hAnsi="Arial" w:cs="Arial"/>
          <w:sz w:val="24"/>
          <w:lang w:val="en-GB"/>
        </w:rPr>
        <w:t xml:space="preserve">d </w:t>
      </w:r>
      <w:r w:rsidR="00372ED0" w:rsidRPr="00AC6C41">
        <w:rPr>
          <w:rFonts w:ascii="Arial" w:eastAsia="Calibri" w:hAnsi="Arial" w:cs="Arial"/>
          <w:sz w:val="24"/>
          <w:lang w:val="en-GB"/>
        </w:rPr>
        <w:t>led</w:t>
      </w:r>
      <w:r w:rsidRPr="00AC6C41">
        <w:rPr>
          <w:rFonts w:ascii="Arial" w:eastAsia="Calibri" w:hAnsi="Arial" w:cs="Arial"/>
          <w:sz w:val="24"/>
          <w:lang w:val="en-GB"/>
        </w:rPr>
        <w:t xml:space="preserve"> to 1,6</w:t>
      </w:r>
      <w:r w:rsidR="00821E93" w:rsidRPr="00AC6C41">
        <w:rPr>
          <w:rFonts w:ascii="Arial" w:eastAsia="Calibri" w:hAnsi="Arial" w:cs="Arial"/>
          <w:sz w:val="24"/>
          <w:lang w:val="en-GB"/>
        </w:rPr>
        <w:t>75</w:t>
      </w:r>
      <w:r w:rsidRPr="00AC6C41">
        <w:rPr>
          <w:rFonts w:ascii="Arial" w:eastAsia="Calibri" w:hAnsi="Arial" w:cs="Arial"/>
          <w:sz w:val="24"/>
          <w:lang w:val="en-GB"/>
        </w:rPr>
        <w:t xml:space="preserve"> residents employed through the council’s supply chain, 1,</w:t>
      </w:r>
      <w:r w:rsidR="00821E93" w:rsidRPr="00AC6C41">
        <w:rPr>
          <w:rFonts w:ascii="Arial" w:eastAsia="Calibri" w:hAnsi="Arial" w:cs="Arial"/>
          <w:sz w:val="24"/>
          <w:lang w:val="en-GB"/>
        </w:rPr>
        <w:t>489</w:t>
      </w:r>
      <w:r w:rsidRPr="00AC6C41">
        <w:rPr>
          <w:rFonts w:ascii="Arial" w:eastAsia="Calibri" w:hAnsi="Arial" w:cs="Arial"/>
          <w:sz w:val="24"/>
          <w:lang w:val="en-GB"/>
        </w:rPr>
        <w:t xml:space="preserve"> </w:t>
      </w:r>
      <w:r w:rsidR="00026289">
        <w:rPr>
          <w:rFonts w:ascii="Arial" w:eastAsia="Calibri" w:hAnsi="Arial" w:cs="Arial"/>
          <w:sz w:val="24"/>
          <w:lang w:val="en-GB"/>
        </w:rPr>
        <w:t xml:space="preserve">of which have been </w:t>
      </w:r>
      <w:r w:rsidRPr="00AC6C41">
        <w:rPr>
          <w:rFonts w:ascii="Arial" w:eastAsia="Calibri" w:hAnsi="Arial" w:cs="Arial"/>
          <w:sz w:val="24"/>
          <w:lang w:val="en-GB"/>
        </w:rPr>
        <w:t>employed on development sites. 1,</w:t>
      </w:r>
      <w:r w:rsidR="000F1F98" w:rsidRPr="00AC6C41">
        <w:rPr>
          <w:rFonts w:ascii="Arial" w:eastAsia="Calibri" w:hAnsi="Arial" w:cs="Arial"/>
          <w:sz w:val="24"/>
          <w:lang w:val="en-GB"/>
        </w:rPr>
        <w:t>101</w:t>
      </w:r>
      <w:r w:rsidRPr="00AC6C41">
        <w:rPr>
          <w:rFonts w:ascii="Arial" w:eastAsia="Calibri" w:hAnsi="Arial" w:cs="Arial"/>
          <w:sz w:val="24"/>
          <w:lang w:val="en-GB"/>
        </w:rPr>
        <w:t xml:space="preserve"> young people have been supported into employment and 5</w:t>
      </w:r>
      <w:r w:rsidR="000F1F98" w:rsidRPr="00AC6C41">
        <w:rPr>
          <w:rFonts w:ascii="Arial" w:eastAsia="Calibri" w:hAnsi="Arial" w:cs="Arial"/>
          <w:sz w:val="24"/>
          <w:lang w:val="en-GB"/>
        </w:rPr>
        <w:t>25</w:t>
      </w:r>
      <w:r w:rsidRPr="00AC6C41">
        <w:rPr>
          <w:rFonts w:ascii="Arial" w:eastAsia="Calibri" w:hAnsi="Arial" w:cs="Arial"/>
          <w:sz w:val="24"/>
          <w:lang w:val="en-GB"/>
        </w:rPr>
        <w:t xml:space="preserve"> into </w:t>
      </w:r>
      <w:r w:rsidRPr="002A2FCC">
        <w:rPr>
          <w:rFonts w:ascii="Arial" w:eastAsia="Calibri" w:hAnsi="Arial" w:cs="Arial"/>
          <w:sz w:val="24"/>
          <w:lang w:val="en-GB"/>
        </w:rPr>
        <w:t>apprenticeships</w:t>
      </w:r>
      <w:r w:rsidRPr="00A35516">
        <w:rPr>
          <w:rFonts w:ascii="Arial" w:eastAsia="Calibri" w:hAnsi="Arial" w:cs="Arial"/>
          <w:sz w:val="24"/>
          <w:lang w:val="en-GB"/>
        </w:rPr>
        <w:t>.</w:t>
      </w:r>
      <w:r w:rsidR="00026289">
        <w:rPr>
          <w:rFonts w:ascii="Arial" w:eastAsia="Calibri" w:hAnsi="Arial" w:cs="Arial"/>
          <w:sz w:val="24"/>
          <w:lang w:val="en-GB"/>
        </w:rPr>
        <w:t xml:space="preserve"> </w:t>
      </w:r>
      <w:r w:rsidR="007D3915">
        <w:rPr>
          <w:rFonts w:ascii="Arial" w:eastAsia="Calibri" w:hAnsi="Arial" w:cs="Arial"/>
          <w:sz w:val="24"/>
          <w:lang w:val="en-GB"/>
        </w:rPr>
        <w:t xml:space="preserve">Over £700k </w:t>
      </w:r>
      <w:r w:rsidR="00026289">
        <w:rPr>
          <w:rFonts w:ascii="Arial" w:eastAsia="Calibri" w:hAnsi="Arial" w:cs="Arial"/>
          <w:sz w:val="24"/>
          <w:lang w:val="en-GB"/>
        </w:rPr>
        <w:t xml:space="preserve">has been </w:t>
      </w:r>
      <w:r w:rsidR="007D3915">
        <w:rPr>
          <w:rFonts w:ascii="Arial" w:eastAsia="Calibri" w:hAnsi="Arial" w:cs="Arial"/>
          <w:sz w:val="24"/>
          <w:lang w:val="en-GB"/>
        </w:rPr>
        <w:t xml:space="preserve">secured in the past five years from development projects to support </w:t>
      </w:r>
      <w:r w:rsidR="00026289">
        <w:rPr>
          <w:rFonts w:ascii="Arial" w:eastAsia="Calibri" w:hAnsi="Arial" w:cs="Arial"/>
          <w:sz w:val="24"/>
          <w:lang w:val="en-GB"/>
        </w:rPr>
        <w:t xml:space="preserve">local </w:t>
      </w:r>
      <w:r w:rsidR="007D3915">
        <w:rPr>
          <w:rFonts w:ascii="Arial" w:eastAsia="Calibri" w:hAnsi="Arial" w:cs="Arial"/>
          <w:sz w:val="24"/>
          <w:lang w:val="en-GB"/>
        </w:rPr>
        <w:t xml:space="preserve">employment and training initiatives. </w:t>
      </w:r>
      <w:r w:rsidR="00D22954">
        <w:rPr>
          <w:rFonts w:ascii="Arial" w:eastAsia="Calibri" w:hAnsi="Arial" w:cs="Arial"/>
          <w:sz w:val="24"/>
          <w:lang w:val="en-GB"/>
        </w:rPr>
        <w:t>As a result of COVID 19 we are still updating final performance figures and these will change by the next Cabinet report.</w:t>
      </w:r>
    </w:p>
    <w:p w14:paraId="66586E93" w14:textId="77777777" w:rsidR="007D3915" w:rsidRDefault="007D3915" w:rsidP="00FD61BA">
      <w:pPr>
        <w:pStyle w:val="NoSpacing"/>
        <w:jc w:val="both"/>
        <w:rPr>
          <w:rFonts w:ascii="Arial" w:eastAsia="Calibri" w:hAnsi="Arial" w:cs="Arial"/>
          <w:sz w:val="24"/>
          <w:lang w:val="en-GB"/>
        </w:rPr>
      </w:pPr>
    </w:p>
    <w:p w14:paraId="6996DE35" w14:textId="2219A3DE" w:rsidR="002A2FCC" w:rsidRDefault="001E1E18" w:rsidP="00FD61BA">
      <w:pPr>
        <w:pStyle w:val="NoSpacing"/>
        <w:jc w:val="both"/>
        <w:rPr>
          <w:rFonts w:ascii="Arial" w:eastAsia="Calibri" w:hAnsi="Arial" w:cs="Arial"/>
          <w:sz w:val="24"/>
          <w:lang w:val="en-GB"/>
        </w:rPr>
      </w:pPr>
      <w:r>
        <w:rPr>
          <w:rFonts w:ascii="Arial" w:eastAsia="Calibri" w:hAnsi="Arial" w:cs="Arial"/>
          <w:sz w:val="24"/>
          <w:lang w:val="en-GB"/>
        </w:rPr>
        <w:t xml:space="preserve">The Council is yet to see the true impact of COVID-19 on </w:t>
      </w:r>
      <w:r w:rsidR="007D3915">
        <w:rPr>
          <w:rFonts w:ascii="Arial" w:eastAsia="Calibri" w:hAnsi="Arial" w:cs="Arial"/>
          <w:sz w:val="24"/>
          <w:lang w:val="en-GB"/>
        </w:rPr>
        <w:t>un</w:t>
      </w:r>
      <w:r>
        <w:rPr>
          <w:rFonts w:ascii="Arial" w:eastAsia="Calibri" w:hAnsi="Arial" w:cs="Arial"/>
          <w:sz w:val="24"/>
          <w:lang w:val="en-GB"/>
        </w:rPr>
        <w:t xml:space="preserve">employment </w:t>
      </w:r>
      <w:r w:rsidR="00026289">
        <w:rPr>
          <w:rFonts w:ascii="Arial" w:eastAsia="Calibri" w:hAnsi="Arial" w:cs="Arial"/>
          <w:sz w:val="24"/>
          <w:lang w:val="en-GB"/>
        </w:rPr>
        <w:t xml:space="preserve">however, </w:t>
      </w:r>
      <w:r w:rsidR="00D22954" w:rsidRPr="0061496A">
        <w:rPr>
          <w:rFonts w:ascii="Arial" w:hAnsi="Arial" w:cs="Arial"/>
          <w:sz w:val="24"/>
        </w:rPr>
        <w:t xml:space="preserve">The claimant count for May was 10,425 residents (6.6%) compared to unemployment of 4,670 (3.1%) at the peak of the recession in October 2009.. This reaffirms the importance of a regeneration </w:t>
      </w:r>
      <w:proofErr w:type="spellStart"/>
      <w:r w:rsidR="00D22954" w:rsidRPr="0061496A">
        <w:rPr>
          <w:rFonts w:ascii="Arial" w:hAnsi="Arial" w:cs="Arial"/>
          <w:sz w:val="24"/>
        </w:rPr>
        <w:t>programme</w:t>
      </w:r>
      <w:proofErr w:type="spellEnd"/>
      <w:r w:rsidR="00D22954" w:rsidRPr="0061496A">
        <w:rPr>
          <w:rFonts w:ascii="Arial" w:hAnsi="Arial" w:cs="Arial"/>
          <w:sz w:val="24"/>
        </w:rPr>
        <w:t xml:space="preserve"> that will help create new jobs through a capital funding.</w:t>
      </w:r>
      <w:r w:rsidR="007D3915">
        <w:rPr>
          <w:rFonts w:ascii="Arial" w:eastAsia="Calibri" w:hAnsi="Arial" w:cs="Arial"/>
          <w:sz w:val="24"/>
          <w:lang w:val="en-GB"/>
        </w:rPr>
        <w:t xml:space="preserve">   </w:t>
      </w:r>
      <w:r>
        <w:rPr>
          <w:rFonts w:ascii="Arial" w:eastAsia="Calibri" w:hAnsi="Arial" w:cs="Arial"/>
          <w:sz w:val="24"/>
          <w:lang w:val="en-GB"/>
        </w:rPr>
        <w:t xml:space="preserve"> </w:t>
      </w:r>
    </w:p>
    <w:p w14:paraId="5BD78B2B" w14:textId="1257AB24" w:rsidR="002D14F9" w:rsidRDefault="002D14F9" w:rsidP="00FD61BA">
      <w:pPr>
        <w:pStyle w:val="NoSpacing"/>
        <w:jc w:val="both"/>
        <w:rPr>
          <w:rFonts w:ascii="Arial" w:eastAsia="Calibri" w:hAnsi="Arial" w:cs="Arial"/>
          <w:sz w:val="24"/>
        </w:rPr>
      </w:pPr>
    </w:p>
    <w:p w14:paraId="484D4D22" w14:textId="5894EF03" w:rsidR="00C63BDF" w:rsidRDefault="00C63BDF" w:rsidP="00FD61BA">
      <w:pPr>
        <w:pStyle w:val="NoSpacing"/>
        <w:jc w:val="both"/>
        <w:rPr>
          <w:rFonts w:ascii="Arial" w:eastAsia="Calibri" w:hAnsi="Arial" w:cs="Arial"/>
          <w:sz w:val="24"/>
        </w:rPr>
      </w:pPr>
    </w:p>
    <w:p w14:paraId="64A221E0" w14:textId="3AFA7BC5" w:rsidR="00C63BDF" w:rsidRDefault="00C63BDF" w:rsidP="00FD61BA">
      <w:pPr>
        <w:pStyle w:val="NoSpacing"/>
        <w:jc w:val="both"/>
        <w:rPr>
          <w:rFonts w:ascii="Arial" w:eastAsia="Calibri" w:hAnsi="Arial" w:cs="Arial"/>
          <w:sz w:val="24"/>
        </w:rPr>
      </w:pPr>
    </w:p>
    <w:p w14:paraId="366B15E6" w14:textId="3D34BDF4" w:rsidR="00C63BDF" w:rsidRDefault="00C63BDF" w:rsidP="00FD61BA">
      <w:pPr>
        <w:pStyle w:val="NoSpacing"/>
        <w:jc w:val="both"/>
        <w:rPr>
          <w:rFonts w:ascii="Arial" w:eastAsia="Calibri" w:hAnsi="Arial" w:cs="Arial"/>
          <w:sz w:val="24"/>
        </w:rPr>
      </w:pPr>
    </w:p>
    <w:p w14:paraId="2B681F65" w14:textId="77777777" w:rsidR="00D8547E" w:rsidRPr="00A62728" w:rsidRDefault="00D8547E" w:rsidP="00FD61BA">
      <w:pPr>
        <w:pStyle w:val="NoSpacing"/>
        <w:jc w:val="both"/>
        <w:rPr>
          <w:rFonts w:ascii="Arial" w:eastAsia="Calibri" w:hAnsi="Arial" w:cs="Arial"/>
          <w:sz w:val="24"/>
        </w:rPr>
      </w:pPr>
    </w:p>
    <w:p w14:paraId="7702CA62" w14:textId="77777777" w:rsidR="00EE6155" w:rsidRPr="00AB5AE0" w:rsidRDefault="00CD521B" w:rsidP="00FD61BA">
      <w:pPr>
        <w:jc w:val="both"/>
        <w:rPr>
          <w:rFonts w:cs="Arial"/>
          <w:b/>
          <w:bCs/>
          <w:szCs w:val="24"/>
          <w:lang w:eastAsia="ja-JP"/>
        </w:rPr>
      </w:pPr>
      <w:r>
        <w:rPr>
          <w:rFonts w:cs="Arial"/>
          <w:b/>
          <w:bCs/>
          <w:szCs w:val="24"/>
          <w:lang w:eastAsia="ja-JP"/>
        </w:rPr>
        <w:t xml:space="preserve">3.6 </w:t>
      </w:r>
      <w:r w:rsidR="00EE6155" w:rsidRPr="00AB5AE0">
        <w:rPr>
          <w:rFonts w:cs="Arial"/>
          <w:b/>
          <w:bCs/>
          <w:szCs w:val="24"/>
          <w:lang w:eastAsia="ja-JP"/>
        </w:rPr>
        <w:t>Improving Harrow’s Strategic Accessibility</w:t>
      </w:r>
    </w:p>
    <w:p w14:paraId="411B02AB" w14:textId="77777777" w:rsidR="00EE6155" w:rsidRPr="00A35516" w:rsidRDefault="00EE6155" w:rsidP="00FD61BA">
      <w:pPr>
        <w:jc w:val="both"/>
        <w:rPr>
          <w:rFonts w:cs="Arial"/>
          <w:b/>
          <w:bCs/>
          <w:szCs w:val="24"/>
          <w:lang w:eastAsia="ja-JP"/>
        </w:rPr>
      </w:pPr>
    </w:p>
    <w:p w14:paraId="444237B5" w14:textId="77777777" w:rsidR="008A56DF" w:rsidRPr="0003242A" w:rsidRDefault="00EE6155" w:rsidP="00FD61BA">
      <w:pPr>
        <w:jc w:val="both"/>
        <w:rPr>
          <w:rFonts w:cs="Arial"/>
          <w:szCs w:val="24"/>
          <w:lang w:eastAsia="ja-JP"/>
        </w:rPr>
      </w:pPr>
      <w:r w:rsidRPr="0003242A">
        <w:rPr>
          <w:rFonts w:cs="Arial"/>
          <w:b/>
          <w:bCs/>
          <w:szCs w:val="24"/>
          <w:lang w:eastAsia="ja-JP"/>
        </w:rPr>
        <w:t xml:space="preserve">Performance Measure:  </w:t>
      </w:r>
      <w:r w:rsidR="008A56DF" w:rsidRPr="006230B5">
        <w:rPr>
          <w:rFonts w:cs="Arial"/>
          <w:bCs/>
          <w:szCs w:val="24"/>
          <w:lang w:eastAsia="ja-JP"/>
        </w:rPr>
        <w:t>Public transport s</w:t>
      </w:r>
      <w:r w:rsidR="008A56DF" w:rsidRPr="006230B5">
        <w:rPr>
          <w:rFonts w:cs="Arial"/>
          <w:szCs w:val="24"/>
          <w:lang w:eastAsia="ja-JP"/>
        </w:rPr>
        <w:t xml:space="preserve">ervice improvements to </w:t>
      </w:r>
      <w:r w:rsidR="00E72D57">
        <w:rPr>
          <w:rFonts w:cs="Arial"/>
          <w:szCs w:val="24"/>
          <w:lang w:eastAsia="ja-JP"/>
        </w:rPr>
        <w:t>C</w:t>
      </w:r>
      <w:r w:rsidR="00E72D57" w:rsidRPr="006230B5">
        <w:rPr>
          <w:rFonts w:cs="Arial"/>
          <w:szCs w:val="24"/>
          <w:lang w:eastAsia="ja-JP"/>
        </w:rPr>
        <w:t xml:space="preserve">entral </w:t>
      </w:r>
      <w:r w:rsidR="008A56DF" w:rsidRPr="006230B5">
        <w:rPr>
          <w:rFonts w:cs="Arial"/>
          <w:szCs w:val="24"/>
          <w:lang w:eastAsia="ja-JP"/>
        </w:rPr>
        <w:t xml:space="preserve">London, improving Public Transport Accessibility Levels (PTAL) and increasing numbers of people using public transport (bus and rail/tube), increasing the number of stations </w:t>
      </w:r>
      <w:r w:rsidR="004908C3" w:rsidRPr="006230B5">
        <w:rPr>
          <w:rFonts w:cs="Arial"/>
          <w:szCs w:val="24"/>
          <w:lang w:eastAsia="ja-JP"/>
        </w:rPr>
        <w:t>and bus</w:t>
      </w:r>
      <w:r w:rsidR="008A56DF" w:rsidRPr="006230B5">
        <w:rPr>
          <w:rFonts w:cs="Arial"/>
          <w:szCs w:val="24"/>
          <w:lang w:eastAsia="ja-JP"/>
        </w:rPr>
        <w:t xml:space="preserve"> stops that are fully accessible.</w:t>
      </w:r>
    </w:p>
    <w:p w14:paraId="3B5FEF93" w14:textId="77777777" w:rsidR="008A56DF" w:rsidRPr="008A56DF" w:rsidRDefault="008A56DF" w:rsidP="00FD61BA">
      <w:pPr>
        <w:jc w:val="both"/>
        <w:rPr>
          <w:rFonts w:cs="Arial"/>
          <w:szCs w:val="24"/>
          <w:lang w:eastAsia="ja-JP"/>
        </w:rPr>
      </w:pPr>
    </w:p>
    <w:p w14:paraId="6A76A58E" w14:textId="77777777" w:rsidR="008A56DF" w:rsidRPr="008A56DF" w:rsidRDefault="008A56DF" w:rsidP="00FD61BA">
      <w:pPr>
        <w:jc w:val="both"/>
        <w:rPr>
          <w:rFonts w:cs="Arial"/>
          <w:color w:val="FF0000"/>
          <w:szCs w:val="24"/>
          <w:lang w:eastAsia="ja-JP"/>
        </w:rPr>
      </w:pPr>
      <w:r w:rsidRPr="008A56DF">
        <w:rPr>
          <w:rFonts w:cs="Arial"/>
          <w:b/>
          <w:bCs/>
          <w:szCs w:val="24"/>
          <w:lang w:eastAsia="ja-JP"/>
        </w:rPr>
        <w:t>Outcome</w:t>
      </w:r>
      <w:r w:rsidRPr="0085442D">
        <w:rPr>
          <w:rFonts w:cs="Arial"/>
          <w:b/>
          <w:bCs/>
          <w:szCs w:val="24"/>
          <w:lang w:eastAsia="ja-JP"/>
        </w:rPr>
        <w:t>:</w:t>
      </w:r>
      <w:r w:rsidRPr="0085442D">
        <w:rPr>
          <w:rFonts w:cs="Arial"/>
          <w:szCs w:val="24"/>
          <w:lang w:eastAsia="ja-JP"/>
        </w:rPr>
        <w:t xml:space="preserve"> Enhanced offer to business, improved levels of inward investment and business retention levels increase.</w:t>
      </w:r>
    </w:p>
    <w:p w14:paraId="64BA198B" w14:textId="77777777" w:rsidR="00EE6155" w:rsidRPr="00A35516" w:rsidRDefault="00EE6155" w:rsidP="00FD61BA">
      <w:pPr>
        <w:jc w:val="both"/>
        <w:rPr>
          <w:rFonts w:cs="Arial"/>
          <w:szCs w:val="24"/>
          <w:lang w:eastAsia="ja-JP"/>
        </w:rPr>
      </w:pPr>
    </w:p>
    <w:p w14:paraId="5272C4FC" w14:textId="77777777" w:rsidR="00A26985" w:rsidRDefault="00EE6155" w:rsidP="00FD61BA">
      <w:pPr>
        <w:jc w:val="both"/>
        <w:rPr>
          <w:rFonts w:cs="Arial"/>
          <w:szCs w:val="24"/>
          <w:lang w:eastAsia="ja-JP"/>
        </w:rPr>
      </w:pPr>
      <w:r w:rsidRPr="00A35516">
        <w:rPr>
          <w:rFonts w:cs="Arial"/>
          <w:b/>
          <w:bCs/>
          <w:szCs w:val="24"/>
          <w:lang w:eastAsia="ja-JP"/>
        </w:rPr>
        <w:t>Performance to date:</w:t>
      </w:r>
      <w:r w:rsidRPr="00A35516">
        <w:rPr>
          <w:rFonts w:cs="Arial"/>
          <w:szCs w:val="24"/>
          <w:lang w:eastAsia="ja-JP"/>
        </w:rPr>
        <w:t xml:space="preserve"> </w:t>
      </w:r>
    </w:p>
    <w:p w14:paraId="17FBC912" w14:textId="77777777" w:rsidR="00E252E3" w:rsidRDefault="00E252E3" w:rsidP="00FD61BA">
      <w:pPr>
        <w:jc w:val="both"/>
        <w:rPr>
          <w:rFonts w:cs="Arial"/>
          <w:szCs w:val="24"/>
          <w:lang w:eastAsia="ja-JP"/>
        </w:rPr>
      </w:pPr>
    </w:p>
    <w:p w14:paraId="315D82FE" w14:textId="77777777" w:rsidR="00A26985" w:rsidRDefault="00CD521B" w:rsidP="00FD61BA">
      <w:pPr>
        <w:jc w:val="both"/>
        <w:rPr>
          <w:rFonts w:cs="Arial"/>
          <w:szCs w:val="24"/>
          <w:lang w:eastAsia="ja-JP"/>
        </w:rPr>
      </w:pPr>
      <w:r>
        <w:rPr>
          <w:rFonts w:cs="Arial"/>
          <w:b/>
          <w:szCs w:val="24"/>
          <w:lang w:eastAsia="ja-JP"/>
        </w:rPr>
        <w:t xml:space="preserve">3.7 </w:t>
      </w:r>
      <w:r w:rsidR="001354E4">
        <w:rPr>
          <w:rFonts w:cs="Arial"/>
          <w:b/>
          <w:szCs w:val="24"/>
          <w:lang w:eastAsia="ja-JP"/>
        </w:rPr>
        <w:t xml:space="preserve">The </w:t>
      </w:r>
      <w:r w:rsidR="00A26985" w:rsidRPr="00A26985">
        <w:rPr>
          <w:rFonts w:cs="Arial"/>
          <w:b/>
          <w:szCs w:val="24"/>
          <w:lang w:eastAsia="ja-JP"/>
        </w:rPr>
        <w:t>Wealdstone Transport S</w:t>
      </w:r>
      <w:r w:rsidR="008A56DF" w:rsidRPr="00A26985">
        <w:rPr>
          <w:rFonts w:cs="Arial"/>
          <w:b/>
          <w:szCs w:val="24"/>
          <w:lang w:eastAsia="ja-JP"/>
        </w:rPr>
        <w:t>tudy</w:t>
      </w:r>
      <w:r w:rsidR="008A56DF" w:rsidRPr="00581FC8">
        <w:rPr>
          <w:rFonts w:cs="Arial"/>
          <w:szCs w:val="24"/>
          <w:lang w:eastAsia="ja-JP"/>
        </w:rPr>
        <w:t xml:space="preserve"> </w:t>
      </w:r>
      <w:r w:rsidR="001354E4">
        <w:rPr>
          <w:rFonts w:cs="Arial"/>
          <w:szCs w:val="24"/>
          <w:lang w:eastAsia="ja-JP"/>
        </w:rPr>
        <w:t xml:space="preserve">- </w:t>
      </w:r>
      <w:r w:rsidR="009275CE" w:rsidRPr="009275CE">
        <w:rPr>
          <w:rFonts w:cs="Arial"/>
          <w:szCs w:val="24"/>
          <w:lang w:eastAsia="ja-JP"/>
        </w:rPr>
        <w:t xml:space="preserve">was completed in 2017 which assessed the future impact of the Regeneration Programme on the transport network and recommended transport interventions including a bus priority scheme to facilitate improved reliability and expansion of bus services in the town. Increasing the bus mode share was highlighted as important to facilitate growth.  </w:t>
      </w:r>
    </w:p>
    <w:p w14:paraId="6B7720BD" w14:textId="77777777" w:rsidR="009275CE" w:rsidRDefault="009275CE" w:rsidP="00FD61BA">
      <w:pPr>
        <w:jc w:val="both"/>
        <w:rPr>
          <w:rFonts w:cs="Arial"/>
          <w:szCs w:val="24"/>
          <w:lang w:eastAsia="ja-JP"/>
        </w:rPr>
      </w:pPr>
    </w:p>
    <w:p w14:paraId="542FE407" w14:textId="0EE1385D" w:rsidR="00EE0595" w:rsidRPr="006230B5" w:rsidRDefault="00EE0595" w:rsidP="00FD61BA">
      <w:pPr>
        <w:jc w:val="both"/>
        <w:rPr>
          <w:rFonts w:cs="Arial"/>
          <w:szCs w:val="24"/>
          <w:lang w:eastAsia="ja-JP"/>
        </w:rPr>
      </w:pPr>
      <w:r w:rsidRPr="002A2FCC">
        <w:rPr>
          <w:rFonts w:cs="Arial"/>
          <w:szCs w:val="24"/>
          <w:lang w:eastAsia="ja-JP"/>
        </w:rPr>
        <w:t>A</w:t>
      </w:r>
      <w:r w:rsidRPr="006230B5">
        <w:rPr>
          <w:rFonts w:cs="Arial"/>
          <w:szCs w:val="24"/>
          <w:lang w:eastAsia="ja-JP"/>
        </w:rPr>
        <w:t xml:space="preserve"> bus priority scheme for the town centre has subsequently been under development and been subject to detailed modelling and ongoing liaison with Transport for London (</w:t>
      </w:r>
      <w:r>
        <w:rPr>
          <w:rFonts w:cs="Arial"/>
          <w:szCs w:val="24"/>
          <w:lang w:eastAsia="ja-JP"/>
        </w:rPr>
        <w:t>TfL</w:t>
      </w:r>
      <w:r w:rsidRPr="006230B5">
        <w:rPr>
          <w:rFonts w:cs="Arial"/>
          <w:szCs w:val="24"/>
          <w:lang w:eastAsia="ja-JP"/>
        </w:rPr>
        <w:t xml:space="preserve">).  </w:t>
      </w:r>
      <w:r w:rsidRPr="00DC1A13">
        <w:rPr>
          <w:rFonts w:cs="Arial"/>
          <w:szCs w:val="24"/>
          <w:lang w:eastAsia="ja-JP"/>
        </w:rPr>
        <w:t xml:space="preserve">The scheme involves major changes to the High Street, A409 corridor, bus routes, traffic signals infrastructure and the public realm. </w:t>
      </w:r>
      <w:r>
        <w:rPr>
          <w:rFonts w:cs="Arial"/>
          <w:szCs w:val="24"/>
          <w:lang w:eastAsia="ja-JP"/>
        </w:rPr>
        <w:t xml:space="preserve"> </w:t>
      </w:r>
      <w:r w:rsidRPr="006230B5">
        <w:rPr>
          <w:rFonts w:cs="Arial"/>
          <w:szCs w:val="24"/>
          <w:lang w:eastAsia="ja-JP"/>
        </w:rPr>
        <w:t xml:space="preserve">A comprehensive business case </w:t>
      </w:r>
      <w:r>
        <w:rPr>
          <w:rFonts w:cs="Arial"/>
          <w:szCs w:val="24"/>
          <w:lang w:eastAsia="ja-JP"/>
        </w:rPr>
        <w:t xml:space="preserve">for the scheme was considered and accepted </w:t>
      </w:r>
      <w:r w:rsidRPr="006230B5">
        <w:rPr>
          <w:rFonts w:cs="Arial"/>
          <w:szCs w:val="24"/>
          <w:lang w:eastAsia="ja-JP"/>
        </w:rPr>
        <w:t xml:space="preserve">by TfL </w:t>
      </w:r>
      <w:r w:rsidRPr="00DC1A13">
        <w:rPr>
          <w:rFonts w:cs="Arial"/>
          <w:szCs w:val="24"/>
          <w:lang w:eastAsia="ja-JP"/>
        </w:rPr>
        <w:t xml:space="preserve">in </w:t>
      </w:r>
      <w:r w:rsidR="0041233D" w:rsidRPr="00DC1A13">
        <w:rPr>
          <w:rFonts w:cs="Arial"/>
          <w:szCs w:val="24"/>
          <w:lang w:eastAsia="ja-JP"/>
        </w:rPr>
        <w:t>November 2019</w:t>
      </w:r>
      <w:r>
        <w:rPr>
          <w:rFonts w:cs="Arial"/>
          <w:szCs w:val="24"/>
          <w:lang w:eastAsia="ja-JP"/>
        </w:rPr>
        <w:t xml:space="preserve"> </w:t>
      </w:r>
      <w:r w:rsidRPr="00DC1A13">
        <w:rPr>
          <w:rFonts w:cs="Arial"/>
          <w:szCs w:val="24"/>
          <w:lang w:eastAsia="ja-JP"/>
        </w:rPr>
        <w:t xml:space="preserve">and funding has been released to undertake public consultation and detailed design in 2019/20. Public </w:t>
      </w:r>
      <w:r w:rsidR="0041233D" w:rsidRPr="00DC1A13">
        <w:rPr>
          <w:rFonts w:cs="Arial"/>
          <w:szCs w:val="24"/>
          <w:lang w:eastAsia="ja-JP"/>
        </w:rPr>
        <w:t xml:space="preserve">consultation </w:t>
      </w:r>
      <w:r w:rsidR="0041233D">
        <w:rPr>
          <w:rFonts w:cs="Arial"/>
          <w:szCs w:val="24"/>
          <w:lang w:eastAsia="ja-JP"/>
        </w:rPr>
        <w:t>was</w:t>
      </w:r>
      <w:r>
        <w:rPr>
          <w:rFonts w:cs="Arial"/>
          <w:szCs w:val="24"/>
          <w:lang w:eastAsia="ja-JP"/>
        </w:rPr>
        <w:t xml:space="preserve"> undertaken in </w:t>
      </w:r>
      <w:r w:rsidRPr="00DC1A13">
        <w:rPr>
          <w:rFonts w:cs="Arial"/>
          <w:szCs w:val="24"/>
          <w:lang w:eastAsia="ja-JP"/>
        </w:rPr>
        <w:t>January</w:t>
      </w:r>
      <w:r>
        <w:rPr>
          <w:rFonts w:cs="Arial"/>
          <w:szCs w:val="24"/>
          <w:lang w:eastAsia="ja-JP"/>
        </w:rPr>
        <w:t>/</w:t>
      </w:r>
      <w:r w:rsidRPr="00DC1A13">
        <w:rPr>
          <w:rFonts w:cs="Arial"/>
          <w:szCs w:val="24"/>
          <w:lang w:eastAsia="ja-JP"/>
        </w:rPr>
        <w:t xml:space="preserve">February 2020 and </w:t>
      </w:r>
      <w:r w:rsidRPr="003B4BBF">
        <w:rPr>
          <w:rFonts w:cs="Arial"/>
          <w:szCs w:val="24"/>
          <w:lang w:eastAsia="ja-JP"/>
        </w:rPr>
        <w:t xml:space="preserve">the results have been </w:t>
      </w:r>
      <w:r>
        <w:rPr>
          <w:rFonts w:cs="Arial"/>
          <w:szCs w:val="24"/>
          <w:lang w:eastAsia="ja-JP"/>
        </w:rPr>
        <w:t>approved</w:t>
      </w:r>
      <w:r w:rsidRPr="003B4BBF">
        <w:rPr>
          <w:rFonts w:cs="Arial"/>
          <w:szCs w:val="24"/>
          <w:lang w:eastAsia="ja-JP"/>
        </w:rPr>
        <w:t xml:space="preserve"> by the Portfolio Holder</w:t>
      </w:r>
      <w:r>
        <w:rPr>
          <w:rFonts w:cs="Arial"/>
          <w:szCs w:val="24"/>
          <w:lang w:eastAsia="ja-JP"/>
        </w:rPr>
        <w:t xml:space="preserve"> and TfL</w:t>
      </w:r>
      <w:r w:rsidRPr="003B4BBF">
        <w:rPr>
          <w:rFonts w:cs="Arial"/>
          <w:szCs w:val="24"/>
          <w:lang w:eastAsia="ja-JP"/>
        </w:rPr>
        <w:t>. Implementation</w:t>
      </w:r>
      <w:r w:rsidRPr="00DC1A13">
        <w:rPr>
          <w:rFonts w:cs="Arial"/>
          <w:szCs w:val="24"/>
          <w:lang w:eastAsia="ja-JP"/>
        </w:rPr>
        <w:t xml:space="preserve"> of the scheme is proposed </w:t>
      </w:r>
      <w:r>
        <w:rPr>
          <w:rFonts w:cs="Arial"/>
          <w:szCs w:val="24"/>
          <w:lang w:eastAsia="ja-JP"/>
        </w:rPr>
        <w:t xml:space="preserve">for </w:t>
      </w:r>
      <w:r w:rsidRPr="003B4BBF">
        <w:rPr>
          <w:rFonts w:cs="Arial"/>
          <w:szCs w:val="24"/>
          <w:lang w:eastAsia="ja-JP"/>
        </w:rPr>
        <w:t>2020/21</w:t>
      </w:r>
      <w:r>
        <w:rPr>
          <w:rFonts w:cs="Arial"/>
          <w:szCs w:val="24"/>
          <w:lang w:eastAsia="ja-JP"/>
        </w:rPr>
        <w:t xml:space="preserve"> at an</w:t>
      </w:r>
      <w:r w:rsidRPr="00DC1A13">
        <w:rPr>
          <w:rFonts w:cs="Arial"/>
          <w:szCs w:val="24"/>
          <w:lang w:eastAsia="ja-JP"/>
        </w:rPr>
        <w:t xml:space="preserve"> estimated </w:t>
      </w:r>
      <w:r>
        <w:rPr>
          <w:rFonts w:cs="Arial"/>
          <w:szCs w:val="24"/>
          <w:lang w:eastAsia="ja-JP"/>
        </w:rPr>
        <w:t xml:space="preserve">construction </w:t>
      </w:r>
      <w:r w:rsidRPr="00DC1A13">
        <w:rPr>
          <w:rFonts w:cs="Arial"/>
          <w:szCs w:val="24"/>
          <w:lang w:eastAsia="ja-JP"/>
        </w:rPr>
        <w:t xml:space="preserve">cost </w:t>
      </w:r>
      <w:r>
        <w:rPr>
          <w:rFonts w:cs="Arial"/>
          <w:szCs w:val="24"/>
          <w:lang w:eastAsia="ja-JP"/>
        </w:rPr>
        <w:t xml:space="preserve">of </w:t>
      </w:r>
      <w:r w:rsidRPr="00DC1A13">
        <w:rPr>
          <w:rFonts w:cs="Arial"/>
          <w:szCs w:val="24"/>
          <w:lang w:eastAsia="ja-JP"/>
        </w:rPr>
        <w:t>approximately £2.25 million</w:t>
      </w:r>
      <w:r w:rsidR="001354E4">
        <w:rPr>
          <w:rFonts w:cs="Arial"/>
          <w:szCs w:val="24"/>
          <w:lang w:eastAsia="ja-JP"/>
        </w:rPr>
        <w:t>.  H</w:t>
      </w:r>
      <w:r>
        <w:rPr>
          <w:rFonts w:cs="Arial"/>
          <w:szCs w:val="24"/>
          <w:lang w:eastAsia="ja-JP"/>
        </w:rPr>
        <w:t xml:space="preserve">owever, the coronavirus health </w:t>
      </w:r>
      <w:r w:rsidR="0041233D">
        <w:rPr>
          <w:rFonts w:cs="Arial"/>
          <w:szCs w:val="24"/>
          <w:lang w:eastAsia="ja-JP"/>
        </w:rPr>
        <w:t>crisis has</w:t>
      </w:r>
      <w:r>
        <w:rPr>
          <w:rFonts w:cs="Arial"/>
          <w:szCs w:val="24"/>
          <w:lang w:eastAsia="ja-JP"/>
        </w:rPr>
        <w:t xml:space="preserve"> led to transport programmes in London being suspended by </w:t>
      </w:r>
      <w:r w:rsidR="0041233D">
        <w:rPr>
          <w:rFonts w:cs="Arial"/>
          <w:szCs w:val="24"/>
          <w:lang w:eastAsia="ja-JP"/>
        </w:rPr>
        <w:t>Transport</w:t>
      </w:r>
      <w:r>
        <w:rPr>
          <w:rFonts w:cs="Arial"/>
          <w:szCs w:val="24"/>
          <w:lang w:eastAsia="ja-JP"/>
        </w:rPr>
        <w:t xml:space="preserve"> for London and this project is on hold currently.</w:t>
      </w:r>
      <w:r w:rsidR="006E2FDF">
        <w:rPr>
          <w:rFonts w:cs="Arial"/>
          <w:szCs w:val="24"/>
          <w:lang w:eastAsia="ja-JP"/>
        </w:rPr>
        <w:t xml:space="preserve"> Opportunities for other funding from government are being explored to source alternative funding for the project.</w:t>
      </w:r>
    </w:p>
    <w:p w14:paraId="4C4BB3A3" w14:textId="77777777" w:rsidR="00EE6155" w:rsidRPr="006230B5" w:rsidRDefault="00EE6155" w:rsidP="00FD61BA">
      <w:pPr>
        <w:jc w:val="both"/>
        <w:rPr>
          <w:rFonts w:cs="Arial"/>
          <w:szCs w:val="24"/>
          <w:lang w:eastAsia="ja-JP"/>
        </w:rPr>
      </w:pPr>
    </w:p>
    <w:p w14:paraId="0F375EEB" w14:textId="0E658EB3" w:rsidR="0043519C" w:rsidRPr="007D31E5" w:rsidRDefault="006230B5" w:rsidP="007D31E5">
      <w:pPr>
        <w:jc w:val="both"/>
        <w:rPr>
          <w:rFonts w:cs="Arial"/>
          <w:szCs w:val="24"/>
          <w:lang w:eastAsia="en-GB"/>
        </w:rPr>
      </w:pPr>
      <w:r w:rsidRPr="007D31E5">
        <w:rPr>
          <w:rFonts w:eastAsia="Calibri" w:cs="Arial"/>
          <w:szCs w:val="24"/>
          <w:lang w:eastAsia="ja-JP"/>
        </w:rPr>
        <w:t xml:space="preserve">Of the 13 stations in Harrow, </w:t>
      </w:r>
      <w:r w:rsidR="00E72D57" w:rsidRPr="007D31E5">
        <w:rPr>
          <w:rFonts w:eastAsia="Calibri" w:cs="Arial"/>
          <w:szCs w:val="24"/>
          <w:lang w:eastAsia="ja-JP"/>
        </w:rPr>
        <w:t xml:space="preserve">two </w:t>
      </w:r>
      <w:r w:rsidRPr="007D31E5">
        <w:rPr>
          <w:rFonts w:eastAsia="Calibri" w:cs="Arial"/>
          <w:szCs w:val="24"/>
          <w:lang w:eastAsia="ja-JP"/>
        </w:rPr>
        <w:t xml:space="preserve">have full step free access (Harrow &amp; Wealdstone and Pinner) and </w:t>
      </w:r>
      <w:r w:rsidR="00E72D57" w:rsidRPr="007D31E5">
        <w:rPr>
          <w:rFonts w:eastAsia="Calibri" w:cs="Arial"/>
          <w:szCs w:val="24"/>
          <w:lang w:eastAsia="ja-JP"/>
        </w:rPr>
        <w:t xml:space="preserve">three </w:t>
      </w:r>
      <w:r w:rsidRPr="007D31E5">
        <w:rPr>
          <w:rFonts w:eastAsia="Calibri" w:cs="Arial"/>
          <w:szCs w:val="24"/>
          <w:lang w:eastAsia="ja-JP"/>
        </w:rPr>
        <w:t>have partial step free access (Stanmore, Hatch End and Headstone Lane).  TfL accessibility improvements in the form of new lifts are being implemented at Harrow</w:t>
      </w:r>
      <w:r w:rsidR="00E72D57" w:rsidRPr="007D31E5">
        <w:rPr>
          <w:rFonts w:eastAsia="Calibri" w:cs="Arial"/>
          <w:szCs w:val="24"/>
          <w:lang w:eastAsia="ja-JP"/>
        </w:rPr>
        <w:t>-</w:t>
      </w:r>
      <w:r w:rsidRPr="007D31E5">
        <w:rPr>
          <w:rFonts w:eastAsia="Calibri" w:cs="Arial"/>
          <w:szCs w:val="24"/>
          <w:lang w:eastAsia="ja-JP"/>
        </w:rPr>
        <w:t>on</w:t>
      </w:r>
      <w:r w:rsidR="00E72D57" w:rsidRPr="007D31E5">
        <w:rPr>
          <w:rFonts w:eastAsia="Calibri" w:cs="Arial"/>
          <w:szCs w:val="24"/>
          <w:lang w:eastAsia="ja-JP"/>
        </w:rPr>
        <w:t>-</w:t>
      </w:r>
      <w:r w:rsidRPr="007D31E5">
        <w:rPr>
          <w:rFonts w:eastAsia="Calibri" w:cs="Arial"/>
          <w:szCs w:val="24"/>
          <w:lang w:eastAsia="ja-JP"/>
        </w:rPr>
        <w:t>the</w:t>
      </w:r>
      <w:r w:rsidR="00E72D57" w:rsidRPr="007D31E5">
        <w:rPr>
          <w:rFonts w:eastAsia="Calibri" w:cs="Arial"/>
          <w:szCs w:val="24"/>
          <w:lang w:eastAsia="ja-JP"/>
        </w:rPr>
        <w:t>-</w:t>
      </w:r>
      <w:r w:rsidRPr="007D31E5">
        <w:rPr>
          <w:rFonts w:eastAsia="Calibri" w:cs="Arial"/>
          <w:szCs w:val="24"/>
          <w:lang w:eastAsia="ja-JP"/>
        </w:rPr>
        <w:t>Hill</w:t>
      </w:r>
      <w:r w:rsidR="00E72D57" w:rsidRPr="007D31E5">
        <w:rPr>
          <w:rFonts w:eastAsia="Calibri" w:cs="Arial"/>
          <w:szCs w:val="24"/>
          <w:lang w:eastAsia="ja-JP"/>
        </w:rPr>
        <w:t xml:space="preserve"> station</w:t>
      </w:r>
      <w:r w:rsidR="007D31E5" w:rsidRPr="007D31E5">
        <w:rPr>
          <w:rFonts w:eastAsia="Calibri" w:cs="Arial"/>
          <w:szCs w:val="24"/>
          <w:lang w:eastAsia="ja-JP"/>
        </w:rPr>
        <w:t xml:space="preserve"> – phase 1, will see the lifts on the College Road side </w:t>
      </w:r>
      <w:r w:rsidR="00C161AC" w:rsidRPr="007D31E5">
        <w:rPr>
          <w:rFonts w:eastAsia="Calibri" w:cs="Arial"/>
          <w:szCs w:val="24"/>
          <w:lang w:eastAsia="ja-JP"/>
        </w:rPr>
        <w:t>due for</w:t>
      </w:r>
      <w:r w:rsidR="008716EF" w:rsidRPr="007D31E5">
        <w:rPr>
          <w:rFonts w:eastAsia="Calibri" w:cs="Arial"/>
          <w:szCs w:val="24"/>
          <w:lang w:eastAsia="ja-JP"/>
        </w:rPr>
        <w:t xml:space="preserve"> completion </w:t>
      </w:r>
      <w:r w:rsidRPr="007D31E5">
        <w:rPr>
          <w:rFonts w:eastAsia="Calibri" w:cs="Arial"/>
          <w:szCs w:val="24"/>
          <w:lang w:eastAsia="ja-JP"/>
        </w:rPr>
        <w:t xml:space="preserve">in </w:t>
      </w:r>
      <w:r w:rsidR="00890E6E" w:rsidRPr="007D31E5">
        <w:rPr>
          <w:rFonts w:eastAsia="Calibri" w:cs="Arial"/>
          <w:szCs w:val="24"/>
          <w:lang w:eastAsia="ja-JP"/>
        </w:rPr>
        <w:t>2020</w:t>
      </w:r>
      <w:r w:rsidR="007D31E5" w:rsidRPr="007D31E5">
        <w:rPr>
          <w:rFonts w:eastAsia="Calibri" w:cs="Arial"/>
          <w:szCs w:val="24"/>
          <w:lang w:eastAsia="ja-JP"/>
        </w:rPr>
        <w:t>, with phase 2</w:t>
      </w:r>
      <w:r w:rsidR="007D31E5" w:rsidRPr="007D31E5">
        <w:rPr>
          <w:rFonts w:cs="Arial"/>
          <w:szCs w:val="24"/>
        </w:rPr>
        <w:t xml:space="preserve"> of the step free access project, allied to the wider development plans for the station</w:t>
      </w:r>
      <w:r w:rsidR="007D31E5" w:rsidRPr="007D31E5">
        <w:rPr>
          <w:rFonts w:cs="Arial"/>
          <w:szCs w:val="24"/>
          <w:lang w:eastAsia="en-GB"/>
        </w:rPr>
        <w:t>.</w:t>
      </w:r>
      <w:r w:rsidRPr="007D31E5">
        <w:rPr>
          <w:rFonts w:eastAsia="Calibri" w:cs="Arial"/>
          <w:szCs w:val="24"/>
          <w:lang w:eastAsia="ja-JP"/>
        </w:rPr>
        <w:t xml:space="preserve"> Redevelopment of the car park at Stanmore station will provide an opportunity to make the station fully accessible.  </w:t>
      </w:r>
      <w:r w:rsidR="0043519C" w:rsidRPr="007D31E5">
        <w:rPr>
          <w:rFonts w:eastAsia="Calibri" w:cs="Arial"/>
          <w:szCs w:val="24"/>
          <w:lang w:eastAsia="ja-JP"/>
        </w:rPr>
        <w:t>Work is underway at Sudbury Hill station to install lifts.</w:t>
      </w:r>
    </w:p>
    <w:p w14:paraId="5A4103A8" w14:textId="77777777" w:rsidR="0043519C" w:rsidRDefault="0043519C" w:rsidP="00FD61BA">
      <w:pPr>
        <w:jc w:val="both"/>
        <w:rPr>
          <w:rFonts w:eastAsia="Calibri" w:cs="Arial"/>
          <w:szCs w:val="24"/>
          <w:lang w:eastAsia="ja-JP"/>
        </w:rPr>
      </w:pPr>
    </w:p>
    <w:p w14:paraId="0B363D45" w14:textId="77777777" w:rsidR="003B4BBF" w:rsidRPr="003B4BBF" w:rsidRDefault="003B4BBF" w:rsidP="00FD61BA">
      <w:pPr>
        <w:jc w:val="both"/>
        <w:rPr>
          <w:rFonts w:eastAsia="Calibri" w:cs="Arial"/>
          <w:szCs w:val="24"/>
          <w:lang w:eastAsia="ja-JP"/>
        </w:rPr>
      </w:pPr>
      <w:r w:rsidRPr="003B4BBF">
        <w:rPr>
          <w:rFonts w:eastAsia="Calibri" w:cs="Arial"/>
          <w:szCs w:val="24"/>
          <w:lang w:eastAsia="ja-JP"/>
        </w:rPr>
        <w:t xml:space="preserve">Proposals to make Sudbury Hill Station step free are currently under review and will require land acquisition issues to be resolved and to identify funding. South Harrow station is currently being considered for step free as part of potential development plans for the car park. </w:t>
      </w:r>
    </w:p>
    <w:p w14:paraId="3AD92F7F" w14:textId="77777777" w:rsidR="003B4BBF" w:rsidRPr="003B4BBF" w:rsidRDefault="003B4BBF" w:rsidP="00FD61BA">
      <w:pPr>
        <w:jc w:val="both"/>
        <w:rPr>
          <w:rFonts w:eastAsia="Calibri" w:cs="Arial"/>
          <w:szCs w:val="24"/>
          <w:lang w:eastAsia="ja-JP"/>
        </w:rPr>
      </w:pPr>
    </w:p>
    <w:p w14:paraId="38FFF427" w14:textId="77777777" w:rsidR="003B4BBF" w:rsidRPr="003B4BBF" w:rsidRDefault="003B4BBF" w:rsidP="00FD61BA">
      <w:pPr>
        <w:jc w:val="both"/>
        <w:rPr>
          <w:rFonts w:eastAsia="Calibri" w:cs="Arial"/>
          <w:szCs w:val="24"/>
          <w:lang w:eastAsia="ja-JP"/>
        </w:rPr>
      </w:pPr>
      <w:r w:rsidRPr="003B4BBF">
        <w:rPr>
          <w:rFonts w:eastAsia="Calibri" w:cs="Arial"/>
          <w:szCs w:val="24"/>
          <w:lang w:eastAsia="ja-JP"/>
        </w:rPr>
        <w:t xml:space="preserve">The use of </w:t>
      </w:r>
      <w:r w:rsidR="00B1058F" w:rsidRPr="003B4BBF">
        <w:rPr>
          <w:rFonts w:eastAsia="Calibri" w:cs="Arial"/>
          <w:szCs w:val="24"/>
          <w:lang w:eastAsia="ja-JP"/>
        </w:rPr>
        <w:t>annual TfL</w:t>
      </w:r>
      <w:r w:rsidRPr="003B4BBF">
        <w:rPr>
          <w:rFonts w:eastAsia="Calibri" w:cs="Arial"/>
          <w:szCs w:val="24"/>
          <w:lang w:eastAsia="ja-JP"/>
        </w:rPr>
        <w:t xml:space="preserve"> funding provided to deliver the Council LIP programme over a number of years has increased the number of accessible bus stops to approximately 99% of the 430 bus stops in Harrow. This means that nearly all </w:t>
      </w:r>
      <w:r w:rsidRPr="003B4BBF">
        <w:rPr>
          <w:rFonts w:eastAsia="Calibri" w:cs="Arial"/>
          <w:szCs w:val="24"/>
          <w:lang w:eastAsia="ja-JP"/>
        </w:rPr>
        <w:lastRenderedPageBreak/>
        <w:t>bus stops have a marked out ‘bus stop clearway’ so that buses can pull up in the correct position, the correct layout and kerb height to allow buses to deploy ramps for step free access and provision of seating and shelters, etc.</w:t>
      </w:r>
    </w:p>
    <w:p w14:paraId="4E464DEA" w14:textId="582294E3" w:rsidR="00EE6155" w:rsidRDefault="00EE6155" w:rsidP="00FD61BA">
      <w:pPr>
        <w:jc w:val="both"/>
        <w:rPr>
          <w:rFonts w:cs="Arial"/>
          <w:b/>
          <w:bCs/>
          <w:szCs w:val="24"/>
          <w:lang w:eastAsia="ja-JP"/>
        </w:rPr>
      </w:pPr>
    </w:p>
    <w:p w14:paraId="7A27EA5D" w14:textId="674DA93B" w:rsidR="00EE6155" w:rsidRPr="00AB5AE0" w:rsidRDefault="00CD521B" w:rsidP="00FD61BA">
      <w:pPr>
        <w:jc w:val="both"/>
        <w:rPr>
          <w:rFonts w:cs="Arial"/>
          <w:b/>
          <w:bCs/>
          <w:szCs w:val="24"/>
          <w:lang w:eastAsia="ja-JP"/>
        </w:rPr>
      </w:pPr>
      <w:r>
        <w:rPr>
          <w:rFonts w:cs="Arial"/>
          <w:b/>
          <w:bCs/>
          <w:szCs w:val="24"/>
          <w:lang w:eastAsia="ja-JP"/>
        </w:rPr>
        <w:t xml:space="preserve">3.8 </w:t>
      </w:r>
      <w:r w:rsidR="00EE6155" w:rsidRPr="00AB5AE0">
        <w:rPr>
          <w:rFonts w:cs="Arial"/>
          <w:b/>
          <w:bCs/>
          <w:szCs w:val="24"/>
          <w:lang w:eastAsia="ja-JP"/>
        </w:rPr>
        <w:t xml:space="preserve">Investing </w:t>
      </w:r>
      <w:r w:rsidR="00857C5B" w:rsidRPr="00AB5AE0">
        <w:rPr>
          <w:rFonts w:cs="Arial"/>
          <w:b/>
          <w:bCs/>
          <w:szCs w:val="24"/>
          <w:lang w:eastAsia="ja-JP"/>
        </w:rPr>
        <w:t>in</w:t>
      </w:r>
      <w:r w:rsidR="00EE6155" w:rsidRPr="00AB5AE0">
        <w:rPr>
          <w:rFonts w:cs="Arial"/>
          <w:b/>
          <w:bCs/>
          <w:szCs w:val="24"/>
          <w:lang w:eastAsia="ja-JP"/>
        </w:rPr>
        <w:t xml:space="preserve"> Improved Infrastructure</w:t>
      </w:r>
    </w:p>
    <w:p w14:paraId="6856E240" w14:textId="77777777" w:rsidR="00EE6155" w:rsidRPr="00A35516" w:rsidRDefault="00EE6155" w:rsidP="00FD61BA">
      <w:pPr>
        <w:jc w:val="both"/>
        <w:rPr>
          <w:rFonts w:cs="Arial"/>
          <w:b/>
          <w:bCs/>
          <w:szCs w:val="24"/>
          <w:lang w:eastAsia="ja-JP"/>
        </w:rPr>
      </w:pPr>
    </w:p>
    <w:p w14:paraId="6832A3D0" w14:textId="77777777" w:rsidR="00EE6155" w:rsidRPr="00581536" w:rsidRDefault="00EE6155" w:rsidP="00FD61BA">
      <w:pPr>
        <w:jc w:val="both"/>
        <w:rPr>
          <w:rFonts w:cs="Arial"/>
          <w:szCs w:val="24"/>
          <w:lang w:eastAsia="ja-JP"/>
        </w:rPr>
      </w:pPr>
      <w:r w:rsidRPr="00581536">
        <w:rPr>
          <w:rFonts w:cs="Arial"/>
          <w:b/>
          <w:bCs/>
          <w:szCs w:val="24"/>
          <w:lang w:eastAsia="ja-JP"/>
        </w:rPr>
        <w:t>Performance Measure:</w:t>
      </w:r>
      <w:r w:rsidRPr="00581536">
        <w:rPr>
          <w:rFonts w:cs="Arial"/>
          <w:szCs w:val="24"/>
          <w:lang w:eastAsia="ja-JP"/>
        </w:rPr>
        <w:t>  Access to new or improved open spaces and sports/ leisure facilities, access to improved libraries and other cultural facilities.  Access to school places, production of local energy, local suppliers engaged and spend in the local supply chain.  Reduce the percentage of residents living in fuel poverty and invest in Community Infrastructure Levy.</w:t>
      </w:r>
    </w:p>
    <w:p w14:paraId="79C35859" w14:textId="77777777" w:rsidR="00EE6155" w:rsidRPr="00581536" w:rsidRDefault="00EE6155" w:rsidP="00FD61BA">
      <w:pPr>
        <w:jc w:val="both"/>
        <w:rPr>
          <w:rFonts w:cs="Arial"/>
          <w:szCs w:val="24"/>
          <w:lang w:eastAsia="ja-JP"/>
        </w:rPr>
      </w:pPr>
    </w:p>
    <w:p w14:paraId="56213CDA" w14:textId="77777777" w:rsidR="00EE6155" w:rsidRPr="00E15528" w:rsidRDefault="00EE6155" w:rsidP="00FD61BA">
      <w:pPr>
        <w:jc w:val="both"/>
        <w:rPr>
          <w:rFonts w:cs="Arial"/>
        </w:rPr>
      </w:pPr>
      <w:r w:rsidRPr="00581536">
        <w:rPr>
          <w:rFonts w:cs="Arial"/>
          <w:b/>
          <w:bCs/>
          <w:szCs w:val="24"/>
          <w:lang w:eastAsia="ja-JP"/>
        </w:rPr>
        <w:t>Outcome:</w:t>
      </w:r>
      <w:r w:rsidRPr="00581536">
        <w:rPr>
          <w:rFonts w:cs="Arial"/>
          <w:szCs w:val="24"/>
          <w:lang w:eastAsia="ja-JP"/>
        </w:rPr>
        <w:t xml:space="preserve"> High educational standards sustained, locally generated heat and power on major development sites.  Healthier, more active community and improved accessibility of green spaces.  </w:t>
      </w:r>
      <w:r w:rsidR="002A7535" w:rsidRPr="00581536">
        <w:rPr>
          <w:rFonts w:cs="Arial"/>
        </w:rPr>
        <w:t xml:space="preserve">Following a survey of the 28 parks play areas a programme has been established to upgrade/renew key sites with accessible modern equipment.  </w:t>
      </w:r>
      <w:r w:rsidR="00313DCC">
        <w:rPr>
          <w:rFonts w:cs="Arial"/>
        </w:rPr>
        <w:t>Six</w:t>
      </w:r>
      <w:r w:rsidR="00313DCC" w:rsidRPr="00581536">
        <w:rPr>
          <w:rFonts w:cs="Arial"/>
        </w:rPr>
        <w:t xml:space="preserve"> </w:t>
      </w:r>
      <w:r w:rsidR="005D2886" w:rsidRPr="00581536">
        <w:rPr>
          <w:rFonts w:cs="Arial"/>
        </w:rPr>
        <w:t>have</w:t>
      </w:r>
      <w:r w:rsidR="002A7535" w:rsidRPr="00581536">
        <w:rPr>
          <w:rFonts w:cs="Arial"/>
        </w:rPr>
        <w:t xml:space="preserve"> been launched this year, with a further </w:t>
      </w:r>
      <w:r w:rsidR="00313DCC">
        <w:rPr>
          <w:rFonts w:cs="Arial"/>
        </w:rPr>
        <w:t>four</w:t>
      </w:r>
      <w:r w:rsidR="00313DCC" w:rsidRPr="00581536">
        <w:rPr>
          <w:rFonts w:cs="Arial"/>
        </w:rPr>
        <w:t xml:space="preserve"> </w:t>
      </w:r>
      <w:r w:rsidR="002A7535" w:rsidRPr="00581536">
        <w:rPr>
          <w:rFonts w:cs="Arial"/>
        </w:rPr>
        <w:t xml:space="preserve">to </w:t>
      </w:r>
      <w:r w:rsidR="005D2886" w:rsidRPr="00581536">
        <w:rPr>
          <w:rFonts w:cs="Arial"/>
        </w:rPr>
        <w:t>be</w:t>
      </w:r>
      <w:r w:rsidR="002A7535" w:rsidRPr="00581536">
        <w:rPr>
          <w:rFonts w:cs="Arial"/>
        </w:rPr>
        <w:t xml:space="preserve"> completed by the end of the financial year.</w:t>
      </w:r>
      <w:r w:rsidR="00E15528">
        <w:rPr>
          <w:rFonts w:cs="Arial"/>
        </w:rPr>
        <w:t xml:space="preserve"> </w:t>
      </w:r>
      <w:r w:rsidRPr="00581536">
        <w:rPr>
          <w:rFonts w:cs="Arial"/>
          <w:szCs w:val="24"/>
          <w:lang w:eastAsia="ja-JP"/>
        </w:rPr>
        <w:t>Business growth and retention. Increased economic activity.</w:t>
      </w:r>
    </w:p>
    <w:p w14:paraId="54284E09" w14:textId="77777777" w:rsidR="00EE6155" w:rsidRPr="00581536" w:rsidRDefault="00EE6155" w:rsidP="00FD61BA">
      <w:pPr>
        <w:jc w:val="both"/>
        <w:rPr>
          <w:rFonts w:cs="Arial"/>
          <w:szCs w:val="24"/>
          <w:lang w:eastAsia="ja-JP"/>
        </w:rPr>
      </w:pPr>
    </w:p>
    <w:p w14:paraId="29469D1E" w14:textId="77777777" w:rsidR="00D84809" w:rsidRDefault="005C6F78" w:rsidP="00FD61BA">
      <w:pPr>
        <w:pStyle w:val="NoSpacing"/>
        <w:jc w:val="both"/>
        <w:rPr>
          <w:rFonts w:ascii="Arial" w:hAnsi="Arial" w:cs="Arial"/>
          <w:sz w:val="24"/>
          <w:szCs w:val="24"/>
        </w:rPr>
      </w:pPr>
      <w:r w:rsidRPr="00581536">
        <w:rPr>
          <w:rFonts w:ascii="Arial" w:hAnsi="Arial" w:cs="Arial"/>
          <w:b/>
          <w:bCs/>
          <w:sz w:val="24"/>
          <w:szCs w:val="24"/>
        </w:rPr>
        <w:t>Performance to date:</w:t>
      </w:r>
      <w:r w:rsidRPr="00581536">
        <w:rPr>
          <w:rFonts w:ascii="Arial" w:hAnsi="Arial" w:cs="Arial"/>
          <w:sz w:val="24"/>
          <w:szCs w:val="24"/>
        </w:rPr>
        <w:t xml:space="preserve"> </w:t>
      </w:r>
    </w:p>
    <w:p w14:paraId="15064651" w14:textId="77777777" w:rsidR="00A26985" w:rsidRDefault="004D1827" w:rsidP="00FD61BA">
      <w:pPr>
        <w:pStyle w:val="NoSpacing"/>
        <w:jc w:val="both"/>
        <w:rPr>
          <w:rFonts w:ascii="Arial" w:hAnsi="Arial" w:cs="Arial"/>
          <w:sz w:val="24"/>
          <w:szCs w:val="24"/>
        </w:rPr>
      </w:pPr>
      <w:r>
        <w:rPr>
          <w:rFonts w:ascii="Arial" w:hAnsi="Arial" w:cs="Arial"/>
          <w:sz w:val="24"/>
          <w:szCs w:val="24"/>
        </w:rPr>
        <w:t xml:space="preserve">Table 1 below sets out the range of successful projects Harrow has delivered since </w:t>
      </w:r>
      <w:r w:rsidR="00026289">
        <w:rPr>
          <w:rFonts w:ascii="Arial" w:hAnsi="Arial" w:cs="Arial"/>
          <w:sz w:val="24"/>
          <w:szCs w:val="24"/>
        </w:rPr>
        <w:t>2018</w:t>
      </w:r>
      <w:r>
        <w:rPr>
          <w:rFonts w:ascii="Arial" w:hAnsi="Arial" w:cs="Arial"/>
          <w:sz w:val="24"/>
          <w:szCs w:val="24"/>
        </w:rPr>
        <w:t xml:space="preserve">.  </w:t>
      </w:r>
      <w:r w:rsidR="00A26985">
        <w:rPr>
          <w:rFonts w:ascii="Arial" w:hAnsi="Arial" w:cs="Arial"/>
          <w:sz w:val="24"/>
          <w:szCs w:val="24"/>
        </w:rPr>
        <w:t xml:space="preserve">These projects were focused on park and open space restoration to deliver multiple infrastructure benefits and many other </w:t>
      </w:r>
      <w:r w:rsidR="0041233D">
        <w:rPr>
          <w:rFonts w:ascii="Arial" w:hAnsi="Arial" w:cs="Arial"/>
          <w:sz w:val="24"/>
          <w:szCs w:val="24"/>
        </w:rPr>
        <w:t>amenities</w:t>
      </w:r>
      <w:r w:rsidR="00A26985">
        <w:rPr>
          <w:rFonts w:ascii="Arial" w:hAnsi="Arial" w:cs="Arial"/>
          <w:sz w:val="24"/>
          <w:szCs w:val="24"/>
        </w:rPr>
        <w:t xml:space="preserve">, physical and mental health, air quality, biodiversity, habitat, education, flood risk protection, water quality etc. </w:t>
      </w:r>
    </w:p>
    <w:p w14:paraId="2CC450AB" w14:textId="77777777" w:rsidR="00A26985" w:rsidRDefault="00A26985" w:rsidP="00FD61BA">
      <w:pPr>
        <w:pStyle w:val="NoSpacing"/>
        <w:jc w:val="both"/>
        <w:rPr>
          <w:rFonts w:ascii="Arial" w:hAnsi="Arial" w:cs="Arial"/>
          <w:sz w:val="24"/>
          <w:szCs w:val="24"/>
        </w:rPr>
      </w:pPr>
    </w:p>
    <w:tbl>
      <w:tblPr>
        <w:tblStyle w:val="TableGrid"/>
        <w:tblW w:w="10065" w:type="dxa"/>
        <w:tblInd w:w="-601" w:type="dxa"/>
        <w:tblLook w:val="04A0" w:firstRow="1" w:lastRow="0" w:firstColumn="1" w:lastColumn="0" w:noHBand="0" w:noVBand="1"/>
      </w:tblPr>
      <w:tblGrid>
        <w:gridCol w:w="1560"/>
        <w:gridCol w:w="7087"/>
        <w:gridCol w:w="1418"/>
      </w:tblGrid>
      <w:tr w:rsidR="00A26985" w:rsidRPr="00E252E3" w14:paraId="6D4DAC38" w14:textId="77777777" w:rsidTr="001354E4">
        <w:tc>
          <w:tcPr>
            <w:tcW w:w="1560" w:type="dxa"/>
          </w:tcPr>
          <w:p w14:paraId="02576F4A" w14:textId="77777777" w:rsidR="00A26985" w:rsidRPr="00E252E3" w:rsidRDefault="00A26985" w:rsidP="00FD61BA">
            <w:pPr>
              <w:pStyle w:val="NoSpacing"/>
              <w:jc w:val="both"/>
              <w:rPr>
                <w:rFonts w:ascii="Arial" w:hAnsi="Arial" w:cs="Arial"/>
                <w:b/>
                <w:sz w:val="24"/>
                <w:szCs w:val="24"/>
              </w:rPr>
            </w:pPr>
            <w:r w:rsidRPr="00E252E3">
              <w:rPr>
                <w:rFonts w:ascii="Arial" w:hAnsi="Arial" w:cs="Arial"/>
                <w:b/>
                <w:sz w:val="24"/>
                <w:szCs w:val="24"/>
              </w:rPr>
              <w:t xml:space="preserve">Project </w:t>
            </w:r>
          </w:p>
        </w:tc>
        <w:tc>
          <w:tcPr>
            <w:tcW w:w="7087" w:type="dxa"/>
          </w:tcPr>
          <w:p w14:paraId="6F552214" w14:textId="77777777" w:rsidR="00A26985" w:rsidRPr="00E252E3" w:rsidRDefault="00A26985" w:rsidP="00FD61BA">
            <w:pPr>
              <w:pStyle w:val="NoSpacing"/>
              <w:jc w:val="both"/>
              <w:rPr>
                <w:rFonts w:ascii="Arial" w:hAnsi="Arial" w:cs="Arial"/>
                <w:b/>
                <w:sz w:val="24"/>
                <w:szCs w:val="24"/>
              </w:rPr>
            </w:pPr>
            <w:r w:rsidRPr="00E252E3">
              <w:rPr>
                <w:rFonts w:ascii="Arial" w:hAnsi="Arial" w:cs="Arial"/>
                <w:b/>
                <w:sz w:val="24"/>
                <w:szCs w:val="24"/>
              </w:rPr>
              <w:t>Description</w:t>
            </w:r>
          </w:p>
        </w:tc>
        <w:tc>
          <w:tcPr>
            <w:tcW w:w="1418" w:type="dxa"/>
          </w:tcPr>
          <w:p w14:paraId="30093BF3" w14:textId="77777777" w:rsidR="00A26985" w:rsidRPr="00E252E3" w:rsidRDefault="00A26985" w:rsidP="00FD61BA">
            <w:pPr>
              <w:pStyle w:val="NoSpacing"/>
              <w:jc w:val="both"/>
              <w:rPr>
                <w:rFonts w:ascii="Arial" w:hAnsi="Arial" w:cs="Arial"/>
                <w:b/>
                <w:sz w:val="24"/>
                <w:szCs w:val="24"/>
              </w:rPr>
            </w:pPr>
            <w:r w:rsidRPr="00E252E3">
              <w:rPr>
                <w:rFonts w:ascii="Arial" w:hAnsi="Arial" w:cs="Arial"/>
                <w:b/>
                <w:sz w:val="24"/>
                <w:szCs w:val="24"/>
              </w:rPr>
              <w:t>Year completed</w:t>
            </w:r>
          </w:p>
        </w:tc>
      </w:tr>
      <w:tr w:rsidR="00A26985" w14:paraId="5BE95B60" w14:textId="77777777" w:rsidTr="001354E4">
        <w:tc>
          <w:tcPr>
            <w:tcW w:w="1560" w:type="dxa"/>
          </w:tcPr>
          <w:p w14:paraId="57D4E378" w14:textId="77777777" w:rsidR="00FF2488" w:rsidRPr="00E3692E" w:rsidRDefault="00FF2488" w:rsidP="00FD61BA">
            <w:pPr>
              <w:pStyle w:val="NoSpacing"/>
              <w:jc w:val="both"/>
              <w:rPr>
                <w:rFonts w:ascii="Arial" w:hAnsi="Arial" w:cs="Arial"/>
                <w:sz w:val="24"/>
                <w:szCs w:val="24"/>
              </w:rPr>
            </w:pPr>
            <w:r w:rsidRPr="00E3692E">
              <w:rPr>
                <w:rFonts w:ascii="Arial" w:hAnsi="Arial" w:cs="Arial"/>
                <w:sz w:val="24"/>
                <w:szCs w:val="24"/>
              </w:rPr>
              <w:t>National Lottery and Heritage Fund</w:t>
            </w:r>
          </w:p>
          <w:p w14:paraId="1D2747A4" w14:textId="77777777" w:rsidR="00FF2488" w:rsidRPr="00E3692E" w:rsidRDefault="00FF2488" w:rsidP="00FD61BA">
            <w:pPr>
              <w:jc w:val="both"/>
              <w:rPr>
                <w:lang w:val="en-US" w:eastAsia="ja-JP"/>
              </w:rPr>
            </w:pPr>
          </w:p>
          <w:p w14:paraId="06F41847" w14:textId="77777777" w:rsidR="00FF2488" w:rsidRPr="00E3692E" w:rsidRDefault="00FF2488" w:rsidP="00FD61BA">
            <w:pPr>
              <w:jc w:val="both"/>
              <w:rPr>
                <w:lang w:val="en-US" w:eastAsia="ja-JP"/>
              </w:rPr>
            </w:pPr>
          </w:p>
          <w:p w14:paraId="5D540A06" w14:textId="77777777" w:rsidR="00FF2488" w:rsidRPr="00E3692E" w:rsidRDefault="00FF2488" w:rsidP="00FD61BA">
            <w:pPr>
              <w:jc w:val="both"/>
              <w:rPr>
                <w:lang w:val="en-US" w:eastAsia="ja-JP"/>
              </w:rPr>
            </w:pPr>
          </w:p>
          <w:p w14:paraId="7C1164CA" w14:textId="77777777" w:rsidR="00FF2488" w:rsidRPr="00E3692E" w:rsidRDefault="00FF2488" w:rsidP="00FD61BA">
            <w:pPr>
              <w:jc w:val="both"/>
              <w:rPr>
                <w:lang w:val="en-US" w:eastAsia="ja-JP"/>
              </w:rPr>
            </w:pPr>
          </w:p>
          <w:p w14:paraId="425486B4" w14:textId="77777777" w:rsidR="00FF2488" w:rsidRPr="00E3692E" w:rsidRDefault="00FF2488" w:rsidP="00FD61BA">
            <w:pPr>
              <w:jc w:val="both"/>
              <w:rPr>
                <w:lang w:val="en-US" w:eastAsia="ja-JP"/>
              </w:rPr>
            </w:pPr>
          </w:p>
          <w:p w14:paraId="3FC081D4" w14:textId="77777777" w:rsidR="00A26985" w:rsidRPr="00E3692E" w:rsidRDefault="00A26985" w:rsidP="00FD61BA">
            <w:pPr>
              <w:ind w:firstLine="720"/>
              <w:jc w:val="both"/>
              <w:rPr>
                <w:lang w:val="en-US" w:eastAsia="ja-JP"/>
              </w:rPr>
            </w:pPr>
          </w:p>
        </w:tc>
        <w:tc>
          <w:tcPr>
            <w:tcW w:w="7087" w:type="dxa"/>
          </w:tcPr>
          <w:p w14:paraId="57418512" w14:textId="59D7B0DD" w:rsidR="00A26985" w:rsidRPr="00E3692E" w:rsidRDefault="00FF2488" w:rsidP="00FD61BA">
            <w:pPr>
              <w:pStyle w:val="NoSpacing"/>
              <w:jc w:val="both"/>
              <w:rPr>
                <w:rFonts w:ascii="Arial" w:hAnsi="Arial" w:cs="Arial"/>
                <w:sz w:val="24"/>
                <w:szCs w:val="24"/>
              </w:rPr>
            </w:pPr>
            <w:r w:rsidRPr="00E3692E">
              <w:rPr>
                <w:rFonts w:ascii="Arial" w:hAnsi="Arial" w:cs="Arial"/>
                <w:sz w:val="24"/>
                <w:szCs w:val="24"/>
              </w:rPr>
              <w:t xml:space="preserve">National Lottery and Heritage Fund award of £1.5m to undertake a heritage and parks restoration project that includes construction of sedimentation pond, wetlands, planting a new orchard, </w:t>
            </w:r>
            <w:r w:rsidR="00857C5B" w:rsidRPr="00E3692E">
              <w:rPr>
                <w:rFonts w:ascii="Arial" w:hAnsi="Arial" w:cs="Arial"/>
                <w:sz w:val="24"/>
                <w:szCs w:val="24"/>
              </w:rPr>
              <w:t>de culverting</w:t>
            </w:r>
            <w:r w:rsidRPr="00E3692E">
              <w:rPr>
                <w:rFonts w:ascii="Arial" w:hAnsi="Arial" w:cs="Arial"/>
                <w:sz w:val="24"/>
                <w:szCs w:val="24"/>
              </w:rPr>
              <w:t xml:space="preserve"> of the </w:t>
            </w:r>
            <w:proofErr w:type="spellStart"/>
            <w:r w:rsidRPr="00E3692E">
              <w:rPr>
                <w:rFonts w:ascii="Arial" w:hAnsi="Arial" w:cs="Arial"/>
                <w:sz w:val="24"/>
                <w:szCs w:val="24"/>
              </w:rPr>
              <w:t>Yeading</w:t>
            </w:r>
            <w:proofErr w:type="spellEnd"/>
            <w:r w:rsidRPr="00E3692E">
              <w:rPr>
                <w:rFonts w:ascii="Arial" w:hAnsi="Arial" w:cs="Arial"/>
                <w:sz w:val="24"/>
                <w:szCs w:val="24"/>
              </w:rPr>
              <w:t xml:space="preserve"> Brook, flood storage, desilting of the ancient scheduled monument moat, new paths, </w:t>
            </w:r>
            <w:r w:rsidR="00313DCC" w:rsidRPr="00E3692E">
              <w:rPr>
                <w:rFonts w:ascii="Arial" w:hAnsi="Arial" w:cs="Arial"/>
                <w:sz w:val="24"/>
                <w:szCs w:val="24"/>
              </w:rPr>
              <w:t xml:space="preserve">five </w:t>
            </w:r>
            <w:r w:rsidRPr="00E3692E">
              <w:rPr>
                <w:rFonts w:ascii="Arial" w:hAnsi="Arial" w:cs="Arial"/>
                <w:sz w:val="24"/>
                <w:szCs w:val="24"/>
              </w:rPr>
              <w:t xml:space="preserve">new bridges, nature and heritage trail, new play equipment, new outdoor learning area, new overflow car park, refurbishment of existing car park, new entrances, signs and interpretation posts and appointment of a full time outdoor learning officer for 3yrs and </w:t>
            </w:r>
            <w:r w:rsidR="00E72D57" w:rsidRPr="00E3692E">
              <w:rPr>
                <w:rFonts w:ascii="Arial" w:hAnsi="Arial" w:cs="Arial"/>
                <w:sz w:val="24"/>
                <w:szCs w:val="24"/>
              </w:rPr>
              <w:t xml:space="preserve">two </w:t>
            </w:r>
            <w:r w:rsidRPr="00E3692E">
              <w:rPr>
                <w:rFonts w:ascii="Arial" w:hAnsi="Arial" w:cs="Arial"/>
                <w:sz w:val="24"/>
                <w:szCs w:val="24"/>
              </w:rPr>
              <w:t>apprentices for 2yrs.</w:t>
            </w:r>
          </w:p>
        </w:tc>
        <w:tc>
          <w:tcPr>
            <w:tcW w:w="1418" w:type="dxa"/>
          </w:tcPr>
          <w:p w14:paraId="079AE254" w14:textId="77777777" w:rsidR="00A26985" w:rsidRDefault="00FF2488" w:rsidP="00FD61BA">
            <w:pPr>
              <w:pStyle w:val="NoSpacing"/>
              <w:jc w:val="both"/>
              <w:rPr>
                <w:rFonts w:ascii="Arial" w:hAnsi="Arial" w:cs="Arial"/>
                <w:sz w:val="24"/>
                <w:szCs w:val="24"/>
              </w:rPr>
            </w:pPr>
            <w:r w:rsidRPr="00E3692E">
              <w:rPr>
                <w:rFonts w:ascii="Arial" w:hAnsi="Arial" w:cs="Arial"/>
                <w:sz w:val="24"/>
                <w:szCs w:val="24"/>
              </w:rPr>
              <w:t>2018/19</w:t>
            </w:r>
          </w:p>
        </w:tc>
      </w:tr>
      <w:tr w:rsidR="00FF2488" w14:paraId="659963A1" w14:textId="77777777" w:rsidTr="001354E4">
        <w:tc>
          <w:tcPr>
            <w:tcW w:w="1560" w:type="dxa"/>
          </w:tcPr>
          <w:p w14:paraId="226347D2" w14:textId="77777777" w:rsidR="00FF2488" w:rsidRDefault="00FF2488" w:rsidP="00FD61BA">
            <w:pPr>
              <w:pStyle w:val="NoSpacing"/>
              <w:jc w:val="both"/>
              <w:rPr>
                <w:rFonts w:ascii="Arial" w:hAnsi="Arial" w:cs="Arial"/>
                <w:sz w:val="24"/>
                <w:szCs w:val="24"/>
              </w:rPr>
            </w:pPr>
            <w:r>
              <w:rPr>
                <w:rFonts w:ascii="Arial" w:hAnsi="Arial" w:cs="Arial"/>
                <w:sz w:val="24"/>
                <w:szCs w:val="24"/>
              </w:rPr>
              <w:t>MHCLG – Volunteer Groups</w:t>
            </w:r>
          </w:p>
        </w:tc>
        <w:tc>
          <w:tcPr>
            <w:tcW w:w="7087" w:type="dxa"/>
          </w:tcPr>
          <w:p w14:paraId="55C703E0" w14:textId="77777777" w:rsidR="00FF2488" w:rsidRDefault="00FF2488" w:rsidP="00FD61BA">
            <w:pPr>
              <w:jc w:val="both"/>
            </w:pPr>
            <w:r w:rsidRPr="00581536">
              <w:rPr>
                <w:rFonts w:cs="Arial"/>
              </w:rPr>
              <w:t>Volunteer groups in Harrow parks have been successful in gaining £93K from the MHCLG to bring underused sections of four parks back into public use.</w:t>
            </w:r>
            <w:r w:rsidR="00F66E4F">
              <w:rPr>
                <w:rFonts w:cs="Arial"/>
              </w:rPr>
              <w:t xml:space="preserve">  Three of the four projects are complete and flood defence elements are operational.  The fourth project, Headstone Manor is in construction.</w:t>
            </w:r>
            <w:r w:rsidR="00AB5AE0">
              <w:rPr>
                <w:rFonts w:cs="Arial"/>
              </w:rPr>
              <w:t xml:space="preserve"> </w:t>
            </w:r>
            <w:r w:rsidR="00F66E4F">
              <w:rPr>
                <w:rFonts w:cs="Arial"/>
              </w:rPr>
              <w:t xml:space="preserve">Due to wet weather conditions over the last five months the programme has been delayed until May 2020 with further planting of trees and wetlands </w:t>
            </w:r>
            <w:r w:rsidR="004B0977">
              <w:rPr>
                <w:rFonts w:cs="Arial"/>
              </w:rPr>
              <w:t xml:space="preserve">programmed </w:t>
            </w:r>
            <w:r w:rsidR="00F66E4F">
              <w:rPr>
                <w:rFonts w:cs="Arial"/>
              </w:rPr>
              <w:t xml:space="preserve">between June </w:t>
            </w:r>
            <w:r w:rsidR="00B1058F">
              <w:rPr>
                <w:rFonts w:cs="Arial"/>
              </w:rPr>
              <w:t>and November</w:t>
            </w:r>
            <w:r w:rsidR="00F66E4F">
              <w:rPr>
                <w:rFonts w:cs="Arial"/>
              </w:rPr>
              <w:t xml:space="preserve"> 2020.  </w:t>
            </w:r>
          </w:p>
        </w:tc>
        <w:tc>
          <w:tcPr>
            <w:tcW w:w="1418" w:type="dxa"/>
          </w:tcPr>
          <w:p w14:paraId="4EEC983E" w14:textId="77777777" w:rsidR="00FF2488" w:rsidRDefault="00FF2488" w:rsidP="00FD61BA">
            <w:pPr>
              <w:pStyle w:val="NoSpacing"/>
              <w:jc w:val="both"/>
              <w:rPr>
                <w:rFonts w:ascii="Arial" w:hAnsi="Arial" w:cs="Arial"/>
                <w:sz w:val="24"/>
                <w:szCs w:val="24"/>
              </w:rPr>
            </w:pPr>
            <w:r>
              <w:rPr>
                <w:rFonts w:ascii="Arial" w:hAnsi="Arial" w:cs="Arial"/>
                <w:sz w:val="24"/>
                <w:szCs w:val="24"/>
              </w:rPr>
              <w:t>20</w:t>
            </w:r>
            <w:r w:rsidR="00F66E4F">
              <w:rPr>
                <w:rFonts w:ascii="Arial" w:hAnsi="Arial" w:cs="Arial"/>
                <w:sz w:val="24"/>
                <w:szCs w:val="24"/>
              </w:rPr>
              <w:t>20</w:t>
            </w:r>
          </w:p>
        </w:tc>
      </w:tr>
      <w:tr w:rsidR="00776F52" w14:paraId="3BC3BC6B" w14:textId="77777777" w:rsidTr="001354E4">
        <w:tc>
          <w:tcPr>
            <w:tcW w:w="1560" w:type="dxa"/>
          </w:tcPr>
          <w:p w14:paraId="489000EA" w14:textId="77777777" w:rsidR="00776F52" w:rsidRDefault="00776F52" w:rsidP="00FD61BA">
            <w:pPr>
              <w:pStyle w:val="NoSpacing"/>
              <w:jc w:val="both"/>
              <w:rPr>
                <w:rFonts w:ascii="Arial" w:hAnsi="Arial" w:cs="Arial"/>
                <w:sz w:val="24"/>
                <w:szCs w:val="24"/>
              </w:rPr>
            </w:pPr>
            <w:r>
              <w:rPr>
                <w:rFonts w:ascii="Arial" w:hAnsi="Arial" w:cs="Arial"/>
                <w:sz w:val="24"/>
                <w:szCs w:val="24"/>
              </w:rPr>
              <w:t>Natural Storage Basin</w:t>
            </w:r>
          </w:p>
        </w:tc>
        <w:tc>
          <w:tcPr>
            <w:tcW w:w="7087" w:type="dxa"/>
          </w:tcPr>
          <w:p w14:paraId="577FDA49" w14:textId="77777777" w:rsidR="00776F52" w:rsidRPr="00581536" w:rsidRDefault="00776F52" w:rsidP="00FD61BA">
            <w:pPr>
              <w:jc w:val="both"/>
              <w:rPr>
                <w:rFonts w:cs="Arial"/>
              </w:rPr>
            </w:pPr>
            <w:r>
              <w:rPr>
                <w:rFonts w:cs="Arial"/>
              </w:rPr>
              <w:t xml:space="preserve">Project in the design stage and will be going out to consultation as the location is a flood storage area in </w:t>
            </w:r>
            <w:r w:rsidR="00B1058F">
              <w:rPr>
                <w:rFonts w:cs="Arial"/>
              </w:rPr>
              <w:t>Headstone</w:t>
            </w:r>
            <w:r>
              <w:rPr>
                <w:rFonts w:cs="Arial"/>
              </w:rPr>
              <w:t xml:space="preserve"> Manor.  Project will be a natural storage basin with flow control structures.  £720k has been secured from the EA Defence Aid grant and Local Levy.  An additional £250k has been requested </w:t>
            </w:r>
            <w:r>
              <w:rPr>
                <w:rFonts w:cs="Arial"/>
              </w:rPr>
              <w:lastRenderedPageBreak/>
              <w:t xml:space="preserve">to increase risk percentage due to wet </w:t>
            </w:r>
            <w:r w:rsidR="00B1058F">
              <w:rPr>
                <w:rFonts w:cs="Arial"/>
              </w:rPr>
              <w:t>weather</w:t>
            </w:r>
            <w:r>
              <w:rPr>
                <w:rFonts w:cs="Arial"/>
              </w:rPr>
              <w:t xml:space="preserve"> and health epidemic.  Construction to begin in late summer/</w:t>
            </w:r>
            <w:r w:rsidR="00B1058F">
              <w:rPr>
                <w:rFonts w:cs="Arial"/>
              </w:rPr>
              <w:t>early</w:t>
            </w:r>
            <w:r>
              <w:rPr>
                <w:rFonts w:cs="Arial"/>
              </w:rPr>
              <w:t xml:space="preserve"> autumn</w:t>
            </w:r>
            <w:r w:rsidR="00737BD6">
              <w:rPr>
                <w:rFonts w:cs="Arial"/>
              </w:rPr>
              <w:t xml:space="preserve"> subject to the increased risk percentage</w:t>
            </w:r>
            <w:r>
              <w:rPr>
                <w:rFonts w:cs="Arial"/>
              </w:rPr>
              <w:t xml:space="preserve">.   </w:t>
            </w:r>
          </w:p>
        </w:tc>
        <w:tc>
          <w:tcPr>
            <w:tcW w:w="1418" w:type="dxa"/>
          </w:tcPr>
          <w:p w14:paraId="5EE61515" w14:textId="77777777" w:rsidR="00776F52" w:rsidRDefault="00737BD6" w:rsidP="00FD61BA">
            <w:pPr>
              <w:pStyle w:val="NoSpacing"/>
              <w:jc w:val="both"/>
              <w:rPr>
                <w:rFonts w:ascii="Arial" w:hAnsi="Arial" w:cs="Arial"/>
                <w:sz w:val="24"/>
                <w:szCs w:val="24"/>
              </w:rPr>
            </w:pPr>
            <w:r>
              <w:rPr>
                <w:rFonts w:ascii="Arial" w:hAnsi="Arial" w:cs="Arial"/>
                <w:sz w:val="24"/>
                <w:szCs w:val="24"/>
              </w:rPr>
              <w:lastRenderedPageBreak/>
              <w:t>31</w:t>
            </w:r>
            <w:r w:rsidRPr="00737BD6">
              <w:rPr>
                <w:rFonts w:ascii="Arial" w:hAnsi="Arial" w:cs="Arial"/>
                <w:sz w:val="24"/>
                <w:szCs w:val="24"/>
                <w:vertAlign w:val="superscript"/>
              </w:rPr>
              <w:t>st</w:t>
            </w:r>
            <w:r>
              <w:rPr>
                <w:rFonts w:ascii="Arial" w:hAnsi="Arial" w:cs="Arial"/>
                <w:sz w:val="24"/>
                <w:szCs w:val="24"/>
              </w:rPr>
              <w:t xml:space="preserve"> March 2021</w:t>
            </w:r>
          </w:p>
        </w:tc>
      </w:tr>
    </w:tbl>
    <w:p w14:paraId="5F201D07" w14:textId="77777777" w:rsidR="00A26985" w:rsidRDefault="00A26985" w:rsidP="00FD61BA">
      <w:pPr>
        <w:pStyle w:val="NoSpacing"/>
        <w:jc w:val="both"/>
        <w:rPr>
          <w:rFonts w:ascii="Arial" w:hAnsi="Arial" w:cs="Arial"/>
          <w:sz w:val="24"/>
          <w:szCs w:val="24"/>
        </w:rPr>
      </w:pPr>
    </w:p>
    <w:p w14:paraId="36299778" w14:textId="77777777" w:rsidR="00CD521B" w:rsidRPr="00CD521B" w:rsidRDefault="00CD521B" w:rsidP="00FD61BA">
      <w:pPr>
        <w:pStyle w:val="NoSpacing"/>
        <w:jc w:val="both"/>
        <w:rPr>
          <w:rFonts w:ascii="Arial" w:hAnsi="Arial" w:cs="Arial"/>
          <w:b/>
          <w:sz w:val="24"/>
          <w:szCs w:val="24"/>
        </w:rPr>
      </w:pPr>
      <w:r w:rsidRPr="00CD521B">
        <w:rPr>
          <w:rFonts w:ascii="Arial" w:hAnsi="Arial" w:cs="Arial"/>
          <w:b/>
          <w:sz w:val="24"/>
          <w:szCs w:val="24"/>
        </w:rPr>
        <w:t>3.9 Strategic Infrastructure Projects and Proposals:</w:t>
      </w:r>
    </w:p>
    <w:p w14:paraId="74A4A3C4" w14:textId="77777777" w:rsidR="00CD521B" w:rsidRDefault="00CD521B" w:rsidP="00FD61BA">
      <w:pPr>
        <w:pStyle w:val="NoSpacing"/>
        <w:jc w:val="both"/>
        <w:rPr>
          <w:rFonts w:ascii="Arial" w:hAnsi="Arial" w:cs="Arial"/>
          <w:sz w:val="24"/>
          <w:szCs w:val="24"/>
        </w:rPr>
      </w:pPr>
    </w:p>
    <w:p w14:paraId="6B2B99DA" w14:textId="77777777" w:rsidR="00AB5AE0" w:rsidRPr="00FF2488" w:rsidRDefault="00FF2488" w:rsidP="00FD61BA">
      <w:pPr>
        <w:pStyle w:val="NoSpacing"/>
        <w:jc w:val="both"/>
        <w:rPr>
          <w:rFonts w:ascii="Arial" w:hAnsi="Arial" w:cs="Arial"/>
          <w:sz w:val="24"/>
          <w:szCs w:val="24"/>
        </w:rPr>
      </w:pPr>
      <w:r>
        <w:rPr>
          <w:rFonts w:ascii="Arial" w:hAnsi="Arial" w:cs="Arial"/>
          <w:sz w:val="24"/>
          <w:szCs w:val="24"/>
        </w:rPr>
        <w:t>The council continues to build on this work to improve strategic infrastructure with the following projects currently underway:</w:t>
      </w:r>
    </w:p>
    <w:p w14:paraId="02BA1F95" w14:textId="77777777" w:rsidR="00FF2488" w:rsidRDefault="00FF2488" w:rsidP="00FD61BA">
      <w:pPr>
        <w:pStyle w:val="NoSpacing"/>
        <w:jc w:val="both"/>
        <w:rPr>
          <w:rFonts w:ascii="Arial" w:hAnsi="Arial" w:cs="Arial"/>
          <w:b/>
          <w:sz w:val="24"/>
          <w:szCs w:val="24"/>
        </w:rPr>
      </w:pPr>
    </w:p>
    <w:p w14:paraId="395A5372" w14:textId="77777777" w:rsidR="00D84809" w:rsidRDefault="00CD521B" w:rsidP="00FD61BA">
      <w:pPr>
        <w:pStyle w:val="NoSpacing"/>
        <w:jc w:val="both"/>
        <w:rPr>
          <w:rFonts w:ascii="Arial" w:hAnsi="Arial" w:cs="Arial"/>
          <w:sz w:val="24"/>
          <w:szCs w:val="24"/>
        </w:rPr>
      </w:pPr>
      <w:r>
        <w:rPr>
          <w:rFonts w:ascii="Arial" w:hAnsi="Arial" w:cs="Arial"/>
          <w:b/>
          <w:sz w:val="24"/>
          <w:szCs w:val="24"/>
        </w:rPr>
        <w:t xml:space="preserve">3.10 </w:t>
      </w:r>
      <w:r w:rsidR="001354E4">
        <w:rPr>
          <w:rFonts w:ascii="Arial" w:hAnsi="Arial" w:cs="Arial"/>
          <w:b/>
          <w:sz w:val="24"/>
          <w:szCs w:val="24"/>
        </w:rPr>
        <w:t xml:space="preserve">The </w:t>
      </w:r>
      <w:r w:rsidR="00D84809" w:rsidRPr="00A26985">
        <w:rPr>
          <w:rFonts w:ascii="Arial" w:hAnsi="Arial" w:cs="Arial"/>
          <w:b/>
          <w:sz w:val="24"/>
          <w:szCs w:val="24"/>
        </w:rPr>
        <w:t xml:space="preserve">Wealdstone Transport Study </w:t>
      </w:r>
      <w:r w:rsidR="001354E4">
        <w:rPr>
          <w:rFonts w:ascii="Arial" w:hAnsi="Arial" w:cs="Arial"/>
          <w:b/>
          <w:sz w:val="24"/>
          <w:szCs w:val="24"/>
        </w:rPr>
        <w:t xml:space="preserve">– </w:t>
      </w:r>
      <w:r w:rsidR="001354E4" w:rsidRPr="001354E4">
        <w:rPr>
          <w:rFonts w:ascii="Arial" w:hAnsi="Arial" w:cs="Arial"/>
          <w:sz w:val="24"/>
          <w:szCs w:val="24"/>
        </w:rPr>
        <w:t xml:space="preserve">this </w:t>
      </w:r>
      <w:r w:rsidR="008A56DF" w:rsidRPr="001354E4">
        <w:rPr>
          <w:rFonts w:ascii="Arial" w:hAnsi="Arial" w:cs="Arial"/>
          <w:sz w:val="24"/>
          <w:szCs w:val="24"/>
        </w:rPr>
        <w:t>s</w:t>
      </w:r>
      <w:r w:rsidR="008A56DF" w:rsidRPr="00581536">
        <w:rPr>
          <w:rFonts w:ascii="Arial" w:hAnsi="Arial" w:cs="Arial"/>
          <w:sz w:val="24"/>
          <w:szCs w:val="24"/>
        </w:rPr>
        <w:t xml:space="preserve">tudy highlighted the need to improve transport infrastructure to facilitate an increase in the walking, cycling and public transport mode share in accordance with the “healthy streets” aspiration in the London Mayor’s Transport Strategy.  Two main transport infrastructure projects are being taken forward from the </w:t>
      </w:r>
      <w:r w:rsidR="00CC296D" w:rsidRPr="00581536">
        <w:rPr>
          <w:rFonts w:ascii="Arial" w:hAnsi="Arial" w:cs="Arial"/>
          <w:sz w:val="24"/>
          <w:szCs w:val="24"/>
        </w:rPr>
        <w:t>study</w:t>
      </w:r>
      <w:r w:rsidR="00CC296D" w:rsidRPr="000C0466">
        <w:rPr>
          <w:rFonts w:ascii="Arial" w:hAnsi="Arial" w:cs="Arial"/>
          <w:sz w:val="24"/>
          <w:szCs w:val="24"/>
        </w:rPr>
        <w:t xml:space="preserve"> (</w:t>
      </w:r>
      <w:proofErr w:type="spellStart"/>
      <w:r w:rsidR="000C0466" w:rsidRPr="000C0466">
        <w:rPr>
          <w:rFonts w:ascii="Arial" w:hAnsi="Arial" w:cs="Arial"/>
          <w:sz w:val="24"/>
          <w:szCs w:val="24"/>
        </w:rPr>
        <w:t>i</w:t>
      </w:r>
      <w:proofErr w:type="spellEnd"/>
      <w:r w:rsidR="000C0466" w:rsidRPr="000C0466">
        <w:rPr>
          <w:rFonts w:ascii="Arial" w:hAnsi="Arial" w:cs="Arial"/>
          <w:sz w:val="24"/>
          <w:szCs w:val="24"/>
        </w:rPr>
        <w:t xml:space="preserve">) a town </w:t>
      </w:r>
      <w:proofErr w:type="spellStart"/>
      <w:r w:rsidR="000C0466" w:rsidRPr="000C0466">
        <w:rPr>
          <w:rFonts w:ascii="Arial" w:hAnsi="Arial" w:cs="Arial"/>
          <w:sz w:val="24"/>
          <w:szCs w:val="24"/>
        </w:rPr>
        <w:t>centre</w:t>
      </w:r>
      <w:proofErr w:type="spellEnd"/>
      <w:r w:rsidR="000C0466" w:rsidRPr="000C0466">
        <w:rPr>
          <w:rFonts w:ascii="Arial" w:hAnsi="Arial" w:cs="Arial"/>
          <w:sz w:val="24"/>
          <w:szCs w:val="24"/>
        </w:rPr>
        <w:t xml:space="preserve"> improvement scheme for the High Street bus services in the town and (ii) a livable neighborhood for Wealdstone. </w:t>
      </w:r>
    </w:p>
    <w:p w14:paraId="59401EB9" w14:textId="77777777" w:rsidR="00D84809" w:rsidRDefault="00D84809" w:rsidP="00FD61BA">
      <w:pPr>
        <w:pStyle w:val="NoSpacing"/>
        <w:jc w:val="both"/>
        <w:rPr>
          <w:rFonts w:ascii="Arial" w:hAnsi="Arial" w:cs="Arial"/>
          <w:sz w:val="24"/>
          <w:szCs w:val="24"/>
        </w:rPr>
      </w:pPr>
    </w:p>
    <w:p w14:paraId="0BE775AE" w14:textId="0A308301" w:rsidR="00EE0595" w:rsidRPr="0099725C" w:rsidRDefault="00CD521B" w:rsidP="001354E4">
      <w:pPr>
        <w:pStyle w:val="NoSpacing"/>
        <w:jc w:val="both"/>
        <w:rPr>
          <w:rFonts w:ascii="Arial" w:hAnsi="Arial" w:cs="Arial"/>
          <w:sz w:val="28"/>
          <w:szCs w:val="24"/>
        </w:rPr>
      </w:pPr>
      <w:r>
        <w:rPr>
          <w:rFonts w:ascii="Arial" w:hAnsi="Arial" w:cs="Arial"/>
          <w:b/>
          <w:sz w:val="24"/>
          <w:szCs w:val="24"/>
        </w:rPr>
        <w:t xml:space="preserve">3.11 </w:t>
      </w:r>
      <w:r w:rsidR="00D84809" w:rsidRPr="001354E4">
        <w:rPr>
          <w:rFonts w:ascii="Arial" w:hAnsi="Arial" w:cs="Arial"/>
          <w:b/>
          <w:sz w:val="24"/>
          <w:szCs w:val="24"/>
        </w:rPr>
        <w:t xml:space="preserve">The </w:t>
      </w:r>
      <w:proofErr w:type="spellStart"/>
      <w:r w:rsidR="00D84809" w:rsidRPr="001354E4">
        <w:rPr>
          <w:rFonts w:ascii="Arial" w:hAnsi="Arial" w:cs="Arial"/>
          <w:b/>
          <w:sz w:val="24"/>
          <w:szCs w:val="24"/>
        </w:rPr>
        <w:t>Liveable</w:t>
      </w:r>
      <w:proofErr w:type="spellEnd"/>
      <w:r w:rsidR="00D84809" w:rsidRPr="001354E4">
        <w:rPr>
          <w:rFonts w:ascii="Arial" w:hAnsi="Arial" w:cs="Arial"/>
          <w:b/>
          <w:sz w:val="24"/>
          <w:szCs w:val="24"/>
        </w:rPr>
        <w:t xml:space="preserve"> </w:t>
      </w:r>
      <w:proofErr w:type="spellStart"/>
      <w:r w:rsidR="00D84809" w:rsidRPr="001354E4">
        <w:rPr>
          <w:rFonts w:ascii="Arial" w:hAnsi="Arial" w:cs="Arial"/>
          <w:b/>
          <w:sz w:val="24"/>
          <w:szCs w:val="24"/>
        </w:rPr>
        <w:t>Neighbourhood</w:t>
      </w:r>
      <w:proofErr w:type="spellEnd"/>
      <w:r w:rsidR="00D84809" w:rsidRPr="001354E4">
        <w:rPr>
          <w:rFonts w:ascii="Arial" w:hAnsi="Arial" w:cs="Arial"/>
          <w:b/>
          <w:sz w:val="24"/>
          <w:szCs w:val="24"/>
        </w:rPr>
        <w:t xml:space="preserve"> Bid</w:t>
      </w:r>
      <w:r w:rsidR="001354E4" w:rsidRPr="001354E4">
        <w:rPr>
          <w:rFonts w:ascii="Arial" w:hAnsi="Arial" w:cs="Arial"/>
          <w:b/>
          <w:sz w:val="24"/>
          <w:szCs w:val="24"/>
        </w:rPr>
        <w:t xml:space="preserve"> </w:t>
      </w:r>
      <w:r w:rsidR="001354E4">
        <w:rPr>
          <w:rFonts w:ascii="Arial" w:hAnsi="Arial" w:cs="Arial"/>
          <w:b/>
          <w:sz w:val="24"/>
          <w:szCs w:val="24"/>
        </w:rPr>
        <w:t>–</w:t>
      </w:r>
      <w:r w:rsidR="001354E4" w:rsidRPr="001354E4">
        <w:rPr>
          <w:rFonts w:ascii="Arial" w:hAnsi="Arial" w:cs="Arial"/>
          <w:b/>
          <w:sz w:val="24"/>
          <w:szCs w:val="24"/>
        </w:rPr>
        <w:t xml:space="preserve"> </w:t>
      </w:r>
      <w:r w:rsidR="00EE0595" w:rsidRPr="001354E4">
        <w:rPr>
          <w:rFonts w:ascii="Arial" w:hAnsi="Arial" w:cs="Arial"/>
          <w:sz w:val="24"/>
          <w:szCs w:val="24"/>
        </w:rPr>
        <w:t>Th</w:t>
      </w:r>
      <w:r w:rsidR="001354E4">
        <w:rPr>
          <w:rFonts w:ascii="Arial" w:hAnsi="Arial" w:cs="Arial"/>
          <w:sz w:val="24"/>
          <w:szCs w:val="24"/>
        </w:rPr>
        <w:t xml:space="preserve">is bid </w:t>
      </w:r>
      <w:r w:rsidR="00EE0595" w:rsidRPr="001354E4">
        <w:rPr>
          <w:rFonts w:ascii="Arial" w:hAnsi="Arial" w:cs="Arial"/>
          <w:sz w:val="24"/>
          <w:szCs w:val="24"/>
        </w:rPr>
        <w:t xml:space="preserve">proposes to introduce strategic north/south and east/west corridors through the town to facilitate greater walking and cycling and also create </w:t>
      </w:r>
      <w:proofErr w:type="spellStart"/>
      <w:r w:rsidR="00EE0595" w:rsidRPr="001354E4">
        <w:rPr>
          <w:rFonts w:ascii="Arial" w:hAnsi="Arial" w:cs="Arial"/>
          <w:sz w:val="24"/>
          <w:szCs w:val="24"/>
        </w:rPr>
        <w:t>localised</w:t>
      </w:r>
      <w:proofErr w:type="spellEnd"/>
      <w:r w:rsidR="00EE0595" w:rsidRPr="001354E4">
        <w:rPr>
          <w:rFonts w:ascii="Arial" w:hAnsi="Arial" w:cs="Arial"/>
          <w:sz w:val="24"/>
          <w:szCs w:val="24"/>
        </w:rPr>
        <w:t xml:space="preserve"> healthy streets within residential </w:t>
      </w:r>
      <w:proofErr w:type="spellStart"/>
      <w:r w:rsidR="00EE0595" w:rsidRPr="001354E4">
        <w:rPr>
          <w:rFonts w:ascii="Arial" w:hAnsi="Arial" w:cs="Arial"/>
          <w:sz w:val="24"/>
          <w:szCs w:val="24"/>
        </w:rPr>
        <w:t>neighbourhoods</w:t>
      </w:r>
      <w:proofErr w:type="spellEnd"/>
      <w:r w:rsidR="00EE0595" w:rsidRPr="001354E4">
        <w:rPr>
          <w:rFonts w:ascii="Arial" w:hAnsi="Arial" w:cs="Arial"/>
          <w:sz w:val="24"/>
          <w:szCs w:val="24"/>
        </w:rPr>
        <w:t xml:space="preserve"> surrounding the town </w:t>
      </w:r>
      <w:proofErr w:type="spellStart"/>
      <w:r w:rsidR="00EE0595" w:rsidRPr="001354E4">
        <w:rPr>
          <w:rFonts w:ascii="Arial" w:hAnsi="Arial" w:cs="Arial"/>
          <w:sz w:val="24"/>
          <w:szCs w:val="24"/>
        </w:rPr>
        <w:t>centre</w:t>
      </w:r>
      <w:proofErr w:type="spellEnd"/>
      <w:r w:rsidR="00EE0595" w:rsidRPr="001354E4">
        <w:rPr>
          <w:rFonts w:ascii="Arial" w:hAnsi="Arial" w:cs="Arial"/>
          <w:sz w:val="24"/>
          <w:szCs w:val="24"/>
        </w:rPr>
        <w:t xml:space="preserve"> to facilitate greater walking, cycling and public transport use. A comprehensive </w:t>
      </w:r>
      <w:proofErr w:type="spellStart"/>
      <w:r w:rsidR="00EE0595" w:rsidRPr="001354E4">
        <w:rPr>
          <w:rFonts w:ascii="Arial" w:hAnsi="Arial" w:cs="Arial"/>
          <w:sz w:val="24"/>
          <w:szCs w:val="24"/>
        </w:rPr>
        <w:t>liveable</w:t>
      </w:r>
      <w:proofErr w:type="spellEnd"/>
      <w:r w:rsidR="00EE0595" w:rsidRPr="001354E4">
        <w:rPr>
          <w:rFonts w:ascii="Arial" w:hAnsi="Arial" w:cs="Arial"/>
          <w:sz w:val="24"/>
          <w:szCs w:val="24"/>
        </w:rPr>
        <w:t xml:space="preserve"> </w:t>
      </w:r>
      <w:proofErr w:type="spellStart"/>
      <w:r w:rsidR="00EE0595" w:rsidRPr="001354E4">
        <w:rPr>
          <w:rFonts w:ascii="Arial" w:hAnsi="Arial" w:cs="Arial"/>
          <w:sz w:val="24"/>
          <w:szCs w:val="24"/>
        </w:rPr>
        <w:t>neighbourhood</w:t>
      </w:r>
      <w:proofErr w:type="spellEnd"/>
      <w:r w:rsidR="00EE0595" w:rsidRPr="001354E4">
        <w:rPr>
          <w:rFonts w:ascii="Arial" w:hAnsi="Arial" w:cs="Arial"/>
          <w:sz w:val="24"/>
          <w:szCs w:val="24"/>
        </w:rPr>
        <w:t xml:space="preserve"> bid was submitted to </w:t>
      </w:r>
      <w:proofErr w:type="spellStart"/>
      <w:r w:rsidR="00EE0595" w:rsidRPr="001354E4">
        <w:rPr>
          <w:rFonts w:ascii="Arial" w:hAnsi="Arial" w:cs="Arial"/>
          <w:sz w:val="24"/>
          <w:szCs w:val="24"/>
        </w:rPr>
        <w:t>TfL</w:t>
      </w:r>
      <w:proofErr w:type="spellEnd"/>
      <w:r w:rsidR="00EE0595" w:rsidRPr="001354E4">
        <w:rPr>
          <w:rFonts w:ascii="Arial" w:hAnsi="Arial" w:cs="Arial"/>
          <w:sz w:val="24"/>
          <w:szCs w:val="24"/>
        </w:rPr>
        <w:t xml:space="preserve"> in November 2019 and the outcome of bid submissions across London was expected to be announced by </w:t>
      </w:r>
      <w:proofErr w:type="spellStart"/>
      <w:r w:rsidR="00EE0595" w:rsidRPr="001354E4">
        <w:rPr>
          <w:rFonts w:ascii="Arial" w:hAnsi="Arial" w:cs="Arial"/>
          <w:sz w:val="24"/>
          <w:szCs w:val="24"/>
        </w:rPr>
        <w:t>TfL</w:t>
      </w:r>
      <w:proofErr w:type="spellEnd"/>
      <w:r w:rsidR="00EE0595" w:rsidRPr="001354E4">
        <w:rPr>
          <w:rFonts w:ascii="Arial" w:hAnsi="Arial" w:cs="Arial"/>
          <w:sz w:val="24"/>
          <w:szCs w:val="24"/>
        </w:rPr>
        <w:t xml:space="preserve"> in March 2020, however, the </w:t>
      </w:r>
      <w:proofErr w:type="spellStart"/>
      <w:r w:rsidR="00E15528" w:rsidRPr="001354E4">
        <w:rPr>
          <w:rFonts w:ascii="Arial" w:hAnsi="Arial" w:cs="Arial"/>
          <w:sz w:val="24"/>
          <w:szCs w:val="24"/>
        </w:rPr>
        <w:t>Covid</w:t>
      </w:r>
      <w:proofErr w:type="spellEnd"/>
      <w:r w:rsidR="00E15528" w:rsidRPr="001354E4">
        <w:rPr>
          <w:rFonts w:ascii="Arial" w:hAnsi="Arial" w:cs="Arial"/>
          <w:sz w:val="24"/>
          <w:szCs w:val="24"/>
        </w:rPr>
        <w:t xml:space="preserve"> 19 </w:t>
      </w:r>
      <w:r w:rsidR="00EE0595" w:rsidRPr="001354E4">
        <w:rPr>
          <w:rFonts w:ascii="Arial" w:hAnsi="Arial" w:cs="Arial"/>
          <w:sz w:val="24"/>
          <w:szCs w:val="24"/>
        </w:rPr>
        <w:t xml:space="preserve">health crisis has led to transport </w:t>
      </w:r>
      <w:proofErr w:type="spellStart"/>
      <w:r w:rsidR="00EE0595" w:rsidRPr="001354E4">
        <w:rPr>
          <w:rFonts w:ascii="Arial" w:hAnsi="Arial" w:cs="Arial"/>
          <w:sz w:val="24"/>
          <w:szCs w:val="24"/>
        </w:rPr>
        <w:t>programmes</w:t>
      </w:r>
      <w:proofErr w:type="spellEnd"/>
      <w:r w:rsidR="00EE0595" w:rsidRPr="001354E4">
        <w:rPr>
          <w:rFonts w:ascii="Arial" w:hAnsi="Arial" w:cs="Arial"/>
          <w:sz w:val="24"/>
          <w:szCs w:val="24"/>
        </w:rPr>
        <w:t xml:space="preserve"> in London being suspended by </w:t>
      </w:r>
      <w:r w:rsidR="0041233D" w:rsidRPr="001354E4">
        <w:rPr>
          <w:rFonts w:ascii="Arial" w:hAnsi="Arial" w:cs="Arial"/>
          <w:sz w:val="24"/>
          <w:szCs w:val="24"/>
        </w:rPr>
        <w:t>Transport</w:t>
      </w:r>
      <w:r w:rsidR="00EE0595" w:rsidRPr="001354E4">
        <w:rPr>
          <w:rFonts w:ascii="Arial" w:hAnsi="Arial" w:cs="Arial"/>
          <w:sz w:val="24"/>
          <w:szCs w:val="24"/>
        </w:rPr>
        <w:t xml:space="preserve"> for London and announcements are on hold currently.</w:t>
      </w:r>
      <w:r w:rsidR="006E2FDF" w:rsidRPr="006E2FDF">
        <w:rPr>
          <w:rFonts w:cs="Arial"/>
          <w:szCs w:val="24"/>
        </w:rPr>
        <w:t xml:space="preserve"> </w:t>
      </w:r>
      <w:r w:rsidR="006E2FDF" w:rsidRPr="0099725C">
        <w:rPr>
          <w:rFonts w:ascii="Arial" w:hAnsi="Arial" w:cs="Arial"/>
          <w:sz w:val="24"/>
          <w:szCs w:val="24"/>
        </w:rPr>
        <w:t>Opportunities for other funding from government are being explored to source alternative funding for the project.</w:t>
      </w:r>
    </w:p>
    <w:p w14:paraId="499A38DA" w14:textId="77777777" w:rsidR="008A56DF" w:rsidRPr="001354E4" w:rsidRDefault="008A56DF" w:rsidP="00FD61BA">
      <w:pPr>
        <w:pStyle w:val="NoSpacing"/>
        <w:jc w:val="both"/>
        <w:rPr>
          <w:rFonts w:ascii="Arial" w:hAnsi="Arial" w:cs="Arial"/>
          <w:sz w:val="24"/>
          <w:szCs w:val="24"/>
        </w:rPr>
      </w:pPr>
    </w:p>
    <w:p w14:paraId="3C83D637" w14:textId="77777777" w:rsidR="008A56DF" w:rsidRPr="00581536" w:rsidRDefault="008A56DF" w:rsidP="00FD61BA">
      <w:pPr>
        <w:pStyle w:val="NoSpacing"/>
        <w:jc w:val="both"/>
        <w:rPr>
          <w:rFonts w:ascii="Arial" w:hAnsi="Arial" w:cs="Arial"/>
          <w:sz w:val="24"/>
          <w:szCs w:val="24"/>
        </w:rPr>
      </w:pPr>
      <w:r w:rsidRPr="001354E4">
        <w:rPr>
          <w:rFonts w:ascii="Arial" w:hAnsi="Arial" w:cs="Arial"/>
          <w:sz w:val="24"/>
          <w:szCs w:val="24"/>
        </w:rPr>
        <w:t xml:space="preserve">The </w:t>
      </w:r>
      <w:r w:rsidRPr="001354E4">
        <w:rPr>
          <w:rFonts w:ascii="Arial" w:hAnsi="Arial" w:cs="Arial"/>
          <w:sz w:val="24"/>
          <w:szCs w:val="24"/>
          <w:lang w:val="en-GB"/>
        </w:rPr>
        <w:t>liveable</w:t>
      </w:r>
      <w:r w:rsidRPr="001354E4">
        <w:rPr>
          <w:rFonts w:ascii="Arial" w:hAnsi="Arial" w:cs="Arial"/>
          <w:sz w:val="24"/>
          <w:szCs w:val="24"/>
        </w:rPr>
        <w:t xml:space="preserve"> </w:t>
      </w:r>
      <w:r w:rsidRPr="001354E4">
        <w:rPr>
          <w:rFonts w:ascii="Arial" w:hAnsi="Arial" w:cs="Arial"/>
          <w:sz w:val="24"/>
          <w:szCs w:val="24"/>
          <w:lang w:val="en-GB"/>
        </w:rPr>
        <w:t>neighbourhood</w:t>
      </w:r>
      <w:r w:rsidRPr="001354E4">
        <w:rPr>
          <w:rFonts w:ascii="Arial" w:hAnsi="Arial" w:cs="Arial"/>
          <w:sz w:val="24"/>
          <w:szCs w:val="24"/>
        </w:rPr>
        <w:t xml:space="preserve"> bid proposes to unlock the potential of Wealdstone’s strengths (public transport) and address its weaknesses (vehicular traffic dominance) through a combination of physical interventions</w:t>
      </w:r>
      <w:r w:rsidRPr="00581536">
        <w:rPr>
          <w:rFonts w:ascii="Arial" w:hAnsi="Arial" w:cs="Arial"/>
          <w:sz w:val="24"/>
          <w:szCs w:val="24"/>
        </w:rPr>
        <w:t xml:space="preserve"> and </w:t>
      </w:r>
      <w:r w:rsidRPr="00FD61BA">
        <w:rPr>
          <w:rFonts w:ascii="Arial" w:hAnsi="Arial" w:cs="Arial"/>
          <w:sz w:val="24"/>
          <w:szCs w:val="24"/>
          <w:lang w:val="en-GB"/>
        </w:rPr>
        <w:t>behaviour</w:t>
      </w:r>
      <w:r w:rsidRPr="00581536">
        <w:rPr>
          <w:rFonts w:ascii="Arial" w:hAnsi="Arial" w:cs="Arial"/>
          <w:sz w:val="24"/>
          <w:szCs w:val="24"/>
        </w:rPr>
        <w:t xml:space="preserve"> change initiatives to increase the level of walking, cycling and public transport use. A range of strategic interventions on key travel gateways into the town will be introduced at key areas of severance as well as a range of </w:t>
      </w:r>
      <w:r w:rsidRPr="00FD61BA">
        <w:rPr>
          <w:rFonts w:ascii="Arial" w:hAnsi="Arial" w:cs="Arial"/>
          <w:sz w:val="24"/>
          <w:szCs w:val="24"/>
          <w:lang w:val="en-GB"/>
        </w:rPr>
        <w:t>localised</w:t>
      </w:r>
      <w:r w:rsidRPr="00581536">
        <w:rPr>
          <w:rFonts w:ascii="Arial" w:hAnsi="Arial" w:cs="Arial"/>
          <w:sz w:val="24"/>
          <w:szCs w:val="24"/>
        </w:rPr>
        <w:t xml:space="preserve"> area initiatives surrounding the town </w:t>
      </w:r>
      <w:r w:rsidRPr="00FD61BA">
        <w:rPr>
          <w:rFonts w:ascii="Arial" w:hAnsi="Arial" w:cs="Arial"/>
          <w:sz w:val="24"/>
          <w:szCs w:val="24"/>
          <w:lang w:val="en-GB"/>
        </w:rPr>
        <w:t>centre</w:t>
      </w:r>
      <w:r w:rsidRPr="00581536">
        <w:rPr>
          <w:rFonts w:ascii="Arial" w:hAnsi="Arial" w:cs="Arial"/>
          <w:sz w:val="24"/>
          <w:szCs w:val="24"/>
        </w:rPr>
        <w:t>. Increasing active travel in the town will also have public health benefits.</w:t>
      </w:r>
    </w:p>
    <w:p w14:paraId="28BDDFB6" w14:textId="77777777" w:rsidR="008A56DF" w:rsidRPr="00581536" w:rsidRDefault="008A56DF" w:rsidP="00FD61BA">
      <w:pPr>
        <w:pStyle w:val="NoSpacing"/>
        <w:jc w:val="both"/>
        <w:rPr>
          <w:rFonts w:ascii="Arial" w:hAnsi="Arial" w:cs="Arial"/>
          <w:sz w:val="24"/>
          <w:szCs w:val="24"/>
        </w:rPr>
      </w:pPr>
    </w:p>
    <w:p w14:paraId="173C19E5" w14:textId="77777777" w:rsidR="00385AA9" w:rsidRDefault="008A56DF" w:rsidP="00FD61BA">
      <w:pPr>
        <w:pStyle w:val="NoSpacing"/>
        <w:jc w:val="both"/>
        <w:rPr>
          <w:rFonts w:ascii="Arial" w:hAnsi="Arial" w:cs="Arial"/>
          <w:sz w:val="24"/>
          <w:szCs w:val="24"/>
        </w:rPr>
      </w:pPr>
      <w:r w:rsidRPr="00581536">
        <w:rPr>
          <w:rFonts w:ascii="Arial" w:hAnsi="Arial" w:cs="Arial"/>
          <w:sz w:val="24"/>
          <w:szCs w:val="24"/>
        </w:rPr>
        <w:t>Access to green spaces will be facilitated by improving crossing points, including a new bridge, over the railway line which creates a barrier to active travel (walking</w:t>
      </w:r>
      <w:r w:rsidR="00C82820">
        <w:rPr>
          <w:rFonts w:ascii="Arial" w:hAnsi="Arial" w:cs="Arial"/>
          <w:sz w:val="24"/>
          <w:szCs w:val="24"/>
        </w:rPr>
        <w:t>/</w:t>
      </w:r>
      <w:r w:rsidRPr="00581536">
        <w:rPr>
          <w:rFonts w:ascii="Arial" w:hAnsi="Arial" w:cs="Arial"/>
          <w:sz w:val="24"/>
          <w:szCs w:val="24"/>
        </w:rPr>
        <w:t>cycling) in order to open up access to Headstone Manor, Byron Park and Kenton Recreation grounds.</w:t>
      </w:r>
      <w:r w:rsidR="00A24C83" w:rsidRPr="00A24C83">
        <w:t xml:space="preserve"> </w:t>
      </w:r>
      <w:r w:rsidR="00A24C83" w:rsidRPr="00A24C83">
        <w:rPr>
          <w:rFonts w:ascii="Arial" w:hAnsi="Arial" w:cs="Arial"/>
          <w:sz w:val="24"/>
          <w:szCs w:val="24"/>
        </w:rPr>
        <w:t xml:space="preserve">The co funded National Lottery Heritage Fund, GLA &amp; Harrow Council Parks </w:t>
      </w:r>
      <w:r w:rsidR="00A24C83" w:rsidRPr="00385AA9">
        <w:rPr>
          <w:rFonts w:ascii="Arial" w:hAnsi="Arial" w:cs="Arial"/>
          <w:sz w:val="24"/>
          <w:szCs w:val="24"/>
        </w:rPr>
        <w:t xml:space="preserve">for People Project is due for completion in the next 12 weeks and provides new cycle and walking routes around </w:t>
      </w:r>
      <w:r w:rsidR="00704BC4">
        <w:rPr>
          <w:rFonts w:ascii="Arial" w:hAnsi="Arial" w:cs="Arial"/>
          <w:sz w:val="24"/>
          <w:szCs w:val="24"/>
        </w:rPr>
        <w:t>new</w:t>
      </w:r>
      <w:r w:rsidR="00704BC4" w:rsidRPr="00704BC4">
        <w:rPr>
          <w:rFonts w:ascii="Arial" w:hAnsi="Arial" w:cs="Arial"/>
          <w:sz w:val="24"/>
          <w:szCs w:val="24"/>
        </w:rPr>
        <w:t xml:space="preserve"> works specifically in Headstone Manor park</w:t>
      </w:r>
      <w:r w:rsidR="00704BC4">
        <w:rPr>
          <w:rFonts w:ascii="Arial" w:hAnsi="Arial" w:cs="Arial"/>
          <w:sz w:val="24"/>
          <w:szCs w:val="24"/>
        </w:rPr>
        <w:t xml:space="preserve"> </w:t>
      </w:r>
      <w:r w:rsidR="00A24C83" w:rsidRPr="00385AA9">
        <w:rPr>
          <w:rFonts w:ascii="Arial" w:hAnsi="Arial" w:cs="Arial"/>
          <w:sz w:val="24"/>
          <w:szCs w:val="24"/>
        </w:rPr>
        <w:t xml:space="preserve">and </w:t>
      </w:r>
      <w:r w:rsidR="00A24C83" w:rsidRPr="00747527">
        <w:rPr>
          <w:rFonts w:ascii="Arial" w:hAnsi="Arial" w:cs="Arial"/>
          <w:sz w:val="24"/>
          <w:szCs w:val="24"/>
        </w:rPr>
        <w:t>beyond to North Harrow, Hatch End and Pinner.</w:t>
      </w:r>
      <w:r w:rsidR="00A24C83">
        <w:rPr>
          <w:rFonts w:ascii="Arial" w:hAnsi="Arial" w:cs="Arial"/>
          <w:sz w:val="24"/>
          <w:szCs w:val="24"/>
        </w:rPr>
        <w:t xml:space="preserve"> </w:t>
      </w:r>
    </w:p>
    <w:p w14:paraId="77BA1252" w14:textId="77777777" w:rsidR="00385AA9" w:rsidRDefault="00385AA9" w:rsidP="00FD61BA">
      <w:pPr>
        <w:pStyle w:val="NoSpacing"/>
        <w:jc w:val="both"/>
        <w:rPr>
          <w:rFonts w:ascii="Arial" w:hAnsi="Arial" w:cs="Arial"/>
          <w:sz w:val="24"/>
          <w:szCs w:val="24"/>
        </w:rPr>
      </w:pPr>
    </w:p>
    <w:p w14:paraId="385DD378" w14:textId="77777777" w:rsidR="00D84809" w:rsidRDefault="00A24C83" w:rsidP="00FD61BA">
      <w:pPr>
        <w:pStyle w:val="NoSpacing"/>
        <w:jc w:val="both"/>
        <w:rPr>
          <w:rFonts w:ascii="Arial" w:hAnsi="Arial" w:cs="Arial"/>
          <w:sz w:val="24"/>
          <w:szCs w:val="24"/>
        </w:rPr>
      </w:pPr>
      <w:r>
        <w:rPr>
          <w:rFonts w:ascii="Arial" w:hAnsi="Arial" w:cs="Arial"/>
          <w:sz w:val="24"/>
          <w:szCs w:val="24"/>
        </w:rPr>
        <w:t>It will link</w:t>
      </w:r>
      <w:r w:rsidRPr="00A24C83">
        <w:rPr>
          <w:rFonts w:ascii="Arial" w:hAnsi="Arial" w:cs="Arial"/>
          <w:sz w:val="24"/>
          <w:szCs w:val="24"/>
        </w:rPr>
        <w:t xml:space="preserve"> Kenton Recreation Ground via the new Harrow View West public open space a</w:t>
      </w:r>
      <w:r>
        <w:rPr>
          <w:rFonts w:ascii="Arial" w:hAnsi="Arial" w:cs="Arial"/>
          <w:sz w:val="24"/>
          <w:szCs w:val="24"/>
        </w:rPr>
        <w:t>s well as</w:t>
      </w:r>
      <w:r w:rsidRPr="00A24C83">
        <w:rPr>
          <w:rFonts w:ascii="Arial" w:hAnsi="Arial" w:cs="Arial"/>
          <w:sz w:val="24"/>
          <w:szCs w:val="24"/>
        </w:rPr>
        <w:t xml:space="preserve"> Kodak East green corridor and Byron Park</w:t>
      </w:r>
      <w:r>
        <w:rPr>
          <w:rFonts w:ascii="Arial" w:hAnsi="Arial" w:cs="Arial"/>
          <w:sz w:val="24"/>
          <w:szCs w:val="24"/>
        </w:rPr>
        <w:t>. It</w:t>
      </w:r>
      <w:r w:rsidRPr="00A24C83">
        <w:rPr>
          <w:rFonts w:ascii="Arial" w:hAnsi="Arial" w:cs="Arial"/>
          <w:sz w:val="24"/>
          <w:szCs w:val="24"/>
        </w:rPr>
        <w:t xml:space="preserve"> strengthens Harrow’s existing Green Grid.</w:t>
      </w:r>
    </w:p>
    <w:p w14:paraId="028669DB" w14:textId="77777777" w:rsidR="00D84809" w:rsidRDefault="00D84809" w:rsidP="00FD61BA">
      <w:pPr>
        <w:pStyle w:val="NoSpacing"/>
        <w:jc w:val="both"/>
        <w:rPr>
          <w:rFonts w:ascii="Arial" w:hAnsi="Arial" w:cs="Arial"/>
          <w:sz w:val="24"/>
          <w:szCs w:val="24"/>
        </w:rPr>
      </w:pPr>
    </w:p>
    <w:p w14:paraId="7997A011" w14:textId="77777777" w:rsidR="00495B8D" w:rsidRPr="001354E4" w:rsidRDefault="00CD521B" w:rsidP="001354E4">
      <w:pPr>
        <w:pStyle w:val="NoSpacing"/>
        <w:jc w:val="both"/>
        <w:rPr>
          <w:rFonts w:ascii="Arial" w:hAnsi="Arial" w:cs="Arial"/>
          <w:sz w:val="24"/>
          <w:szCs w:val="24"/>
        </w:rPr>
      </w:pPr>
      <w:r>
        <w:rPr>
          <w:rFonts w:ascii="Arial" w:hAnsi="Arial" w:cs="Arial"/>
          <w:b/>
          <w:sz w:val="24"/>
          <w:szCs w:val="24"/>
        </w:rPr>
        <w:t xml:space="preserve">3.12 </w:t>
      </w:r>
      <w:r w:rsidR="00D84809" w:rsidRPr="001354E4">
        <w:rPr>
          <w:rFonts w:ascii="Arial" w:hAnsi="Arial" w:cs="Arial"/>
          <w:b/>
          <w:sz w:val="24"/>
          <w:szCs w:val="24"/>
        </w:rPr>
        <w:t>Heat Network</w:t>
      </w:r>
      <w:r w:rsidR="001354E4" w:rsidRPr="001354E4">
        <w:rPr>
          <w:rFonts w:ascii="Arial" w:hAnsi="Arial" w:cs="Arial"/>
          <w:b/>
          <w:sz w:val="24"/>
          <w:szCs w:val="24"/>
        </w:rPr>
        <w:t xml:space="preserve"> </w:t>
      </w:r>
      <w:r w:rsidR="001354E4">
        <w:rPr>
          <w:rFonts w:ascii="Arial" w:hAnsi="Arial" w:cs="Arial"/>
          <w:b/>
          <w:sz w:val="24"/>
          <w:szCs w:val="24"/>
        </w:rPr>
        <w:t>–</w:t>
      </w:r>
      <w:r w:rsidR="001354E4" w:rsidRPr="001354E4">
        <w:rPr>
          <w:rFonts w:ascii="Arial" w:hAnsi="Arial" w:cs="Arial"/>
          <w:b/>
          <w:sz w:val="24"/>
          <w:szCs w:val="24"/>
        </w:rPr>
        <w:t xml:space="preserve"> </w:t>
      </w:r>
      <w:r w:rsidR="00495B8D" w:rsidRPr="001354E4">
        <w:rPr>
          <w:rFonts w:ascii="Arial" w:hAnsi="Arial" w:cs="Arial"/>
          <w:sz w:val="24"/>
          <w:szCs w:val="24"/>
        </w:rPr>
        <w:t>Th</w:t>
      </w:r>
      <w:r w:rsidR="001354E4">
        <w:rPr>
          <w:rFonts w:ascii="Arial" w:hAnsi="Arial" w:cs="Arial"/>
          <w:sz w:val="24"/>
          <w:szCs w:val="24"/>
        </w:rPr>
        <w:t xml:space="preserve">e Council continue to review potential </w:t>
      </w:r>
      <w:r w:rsidR="00495B8D" w:rsidRPr="001354E4">
        <w:rPr>
          <w:rFonts w:ascii="Arial" w:hAnsi="Arial" w:cs="Arial"/>
          <w:sz w:val="24"/>
          <w:szCs w:val="24"/>
        </w:rPr>
        <w:t xml:space="preserve">opportunity to provide a local heat network </w:t>
      </w:r>
      <w:r w:rsidR="001354E4">
        <w:rPr>
          <w:rFonts w:ascii="Arial" w:hAnsi="Arial" w:cs="Arial"/>
          <w:sz w:val="24"/>
          <w:szCs w:val="24"/>
        </w:rPr>
        <w:t xml:space="preserve">which would </w:t>
      </w:r>
      <w:r w:rsidR="00495B8D" w:rsidRPr="001354E4">
        <w:rPr>
          <w:rFonts w:ascii="Arial" w:hAnsi="Arial" w:cs="Arial"/>
          <w:sz w:val="24"/>
          <w:szCs w:val="24"/>
        </w:rPr>
        <w:t>serv</w:t>
      </w:r>
      <w:r w:rsidR="001354E4">
        <w:rPr>
          <w:rFonts w:ascii="Arial" w:hAnsi="Arial" w:cs="Arial"/>
          <w:sz w:val="24"/>
          <w:szCs w:val="24"/>
        </w:rPr>
        <w:t>e</w:t>
      </w:r>
      <w:r w:rsidR="00495B8D" w:rsidRPr="001354E4">
        <w:rPr>
          <w:rFonts w:ascii="Arial" w:hAnsi="Arial" w:cs="Arial"/>
          <w:sz w:val="24"/>
          <w:szCs w:val="24"/>
        </w:rPr>
        <w:t xml:space="preserve"> the main </w:t>
      </w:r>
      <w:r w:rsidR="00E72D57" w:rsidRPr="001354E4">
        <w:rPr>
          <w:rFonts w:ascii="Arial" w:hAnsi="Arial" w:cs="Arial"/>
          <w:sz w:val="24"/>
          <w:szCs w:val="24"/>
        </w:rPr>
        <w:t xml:space="preserve">council </w:t>
      </w:r>
      <w:r w:rsidR="00495B8D" w:rsidRPr="001354E4">
        <w:rPr>
          <w:rFonts w:ascii="Arial" w:hAnsi="Arial" w:cs="Arial"/>
          <w:sz w:val="24"/>
          <w:szCs w:val="24"/>
        </w:rPr>
        <w:t xml:space="preserve">regeneration </w:t>
      </w:r>
      <w:r w:rsidR="00495B8D" w:rsidRPr="001354E4">
        <w:rPr>
          <w:rFonts w:ascii="Arial" w:hAnsi="Arial" w:cs="Arial"/>
          <w:sz w:val="24"/>
          <w:szCs w:val="24"/>
        </w:rPr>
        <w:lastRenderedPageBreak/>
        <w:t xml:space="preserve">sites has been progressed to draft business case stage, which will be refined once the Strategic Development Partner is procured.  </w:t>
      </w:r>
    </w:p>
    <w:p w14:paraId="1132631C" w14:textId="77777777" w:rsidR="00FE2290" w:rsidRDefault="00FE2290" w:rsidP="00FD61BA">
      <w:pPr>
        <w:jc w:val="both"/>
        <w:rPr>
          <w:rFonts w:cs="Arial"/>
          <w:b/>
          <w:szCs w:val="24"/>
          <w:lang w:eastAsia="ja-JP"/>
        </w:rPr>
      </w:pPr>
    </w:p>
    <w:p w14:paraId="5510D767" w14:textId="77777777" w:rsidR="009275CE" w:rsidRDefault="00CD521B" w:rsidP="00FD61BA">
      <w:pPr>
        <w:jc w:val="both"/>
        <w:rPr>
          <w:rFonts w:cs="Arial"/>
          <w:szCs w:val="24"/>
          <w:lang w:eastAsia="ja-JP"/>
        </w:rPr>
      </w:pPr>
      <w:r>
        <w:rPr>
          <w:rFonts w:cs="Arial"/>
          <w:b/>
          <w:szCs w:val="24"/>
          <w:lang w:eastAsia="ja-JP"/>
        </w:rPr>
        <w:t xml:space="preserve">3.13 </w:t>
      </w:r>
      <w:r w:rsidR="00D84809" w:rsidRPr="001354E4">
        <w:rPr>
          <w:rFonts w:cs="Arial"/>
          <w:b/>
          <w:szCs w:val="24"/>
          <w:lang w:eastAsia="ja-JP"/>
        </w:rPr>
        <w:t>Clinical Commissioning Group</w:t>
      </w:r>
      <w:r>
        <w:rPr>
          <w:rFonts w:cs="Arial"/>
          <w:b/>
          <w:szCs w:val="24"/>
          <w:lang w:eastAsia="ja-JP"/>
        </w:rPr>
        <w:t xml:space="preserve"> - </w:t>
      </w:r>
      <w:r w:rsidR="00495B8D" w:rsidRPr="00AC6C41">
        <w:rPr>
          <w:rFonts w:cs="Arial"/>
          <w:szCs w:val="24"/>
          <w:lang w:eastAsia="ja-JP"/>
        </w:rPr>
        <w:t>Work continues with the Clinical Commissioning Group (CCG) to assist them in planning for the health infrastructure required to support new development in the Opportunity Area, including facilitating a new Health Centre on the Harrow View East site.</w:t>
      </w:r>
    </w:p>
    <w:p w14:paraId="02246709" w14:textId="77777777" w:rsidR="00E15528" w:rsidRDefault="00E15528" w:rsidP="00FD61BA">
      <w:pPr>
        <w:jc w:val="both"/>
        <w:rPr>
          <w:rFonts w:cs="Arial"/>
          <w:b/>
          <w:szCs w:val="24"/>
          <w:lang w:eastAsia="ja-JP"/>
        </w:rPr>
      </w:pPr>
    </w:p>
    <w:p w14:paraId="499164DD" w14:textId="77777777" w:rsidR="00EE6155" w:rsidRPr="00A35516" w:rsidRDefault="00CD521B" w:rsidP="00FD61BA">
      <w:pPr>
        <w:jc w:val="both"/>
        <w:rPr>
          <w:rFonts w:cs="Arial"/>
          <w:szCs w:val="24"/>
          <w:lang w:eastAsia="ja-JP"/>
        </w:rPr>
      </w:pPr>
      <w:r>
        <w:rPr>
          <w:rFonts w:cs="Arial"/>
          <w:b/>
          <w:szCs w:val="24"/>
          <w:lang w:eastAsia="ja-JP"/>
        </w:rPr>
        <w:t xml:space="preserve">3.14 </w:t>
      </w:r>
      <w:r w:rsidR="00FF2488">
        <w:rPr>
          <w:rFonts w:cs="Arial"/>
          <w:b/>
          <w:szCs w:val="24"/>
          <w:lang w:eastAsia="ja-JP"/>
        </w:rPr>
        <w:t>Education</w:t>
      </w:r>
      <w:r>
        <w:rPr>
          <w:rFonts w:cs="Arial"/>
          <w:b/>
          <w:szCs w:val="24"/>
          <w:lang w:eastAsia="ja-JP"/>
        </w:rPr>
        <w:t xml:space="preserve"> - </w:t>
      </w:r>
      <w:r w:rsidR="00EE6155" w:rsidRPr="00A35516">
        <w:rPr>
          <w:rFonts w:cs="Arial"/>
          <w:szCs w:val="24"/>
          <w:lang w:eastAsia="ja-JP"/>
        </w:rPr>
        <w:t xml:space="preserve">Harrow schools continue to be rated either Outstanding or Good. The Not </w:t>
      </w:r>
      <w:r w:rsidR="00CC296D" w:rsidRPr="00A35516">
        <w:rPr>
          <w:rFonts w:cs="Arial"/>
          <w:szCs w:val="24"/>
          <w:lang w:eastAsia="ja-JP"/>
        </w:rPr>
        <w:t>in</w:t>
      </w:r>
      <w:r w:rsidR="00EE6155" w:rsidRPr="00A35516">
        <w:rPr>
          <w:rFonts w:cs="Arial"/>
          <w:szCs w:val="24"/>
          <w:lang w:eastAsia="ja-JP"/>
        </w:rPr>
        <w:t xml:space="preserve"> Education Employment or Training (NEET) figure is </w:t>
      </w:r>
      <w:r w:rsidR="001B4861">
        <w:rPr>
          <w:rFonts w:cs="Arial"/>
          <w:szCs w:val="24"/>
          <w:lang w:eastAsia="ja-JP"/>
        </w:rPr>
        <w:t>0.45</w:t>
      </w:r>
      <w:r w:rsidR="00EE6155" w:rsidRPr="00A35516">
        <w:rPr>
          <w:rFonts w:cs="Arial"/>
          <w:szCs w:val="24"/>
          <w:lang w:eastAsia="ja-JP"/>
        </w:rPr>
        <w:t xml:space="preserve">% </w:t>
      </w:r>
      <w:r w:rsidR="001B4861" w:rsidRPr="00087FC8">
        <w:rPr>
          <w:lang w:val="en-US"/>
        </w:rPr>
        <w:t>in March 2019</w:t>
      </w:r>
      <w:r w:rsidR="001B4861">
        <w:rPr>
          <w:lang w:val="en-US"/>
        </w:rPr>
        <w:t xml:space="preserve">. </w:t>
      </w:r>
      <w:r w:rsidR="001B4861" w:rsidRPr="00087FC8">
        <w:rPr>
          <w:lang w:val="en-US"/>
        </w:rPr>
        <w:t>Th</w:t>
      </w:r>
      <w:r w:rsidR="001B4861">
        <w:rPr>
          <w:lang w:val="en-US"/>
        </w:rPr>
        <w:t>is is the</w:t>
      </w:r>
      <w:r w:rsidR="001B4861" w:rsidRPr="00087FC8">
        <w:rPr>
          <w:lang w:val="en-US"/>
        </w:rPr>
        <w:t xml:space="preserve"> percentage of young people aged 16-18 who were not meeting </w:t>
      </w:r>
      <w:r w:rsidR="001B4861">
        <w:rPr>
          <w:lang w:val="en-US"/>
        </w:rPr>
        <w:t>Harrow’s</w:t>
      </w:r>
      <w:r w:rsidR="001B4861" w:rsidRPr="00087FC8">
        <w:rPr>
          <w:lang w:val="en-US"/>
        </w:rPr>
        <w:t xml:space="preserve"> ‘duty to participate’. This is the third lowest rate in England </w:t>
      </w:r>
      <w:r w:rsidR="001B4861">
        <w:rPr>
          <w:lang w:val="en-US"/>
        </w:rPr>
        <w:t>out of the 152 Local Authority areas</w:t>
      </w:r>
      <w:r w:rsidR="00B44112">
        <w:rPr>
          <w:lang w:val="en-US"/>
        </w:rPr>
        <w:t>.</w:t>
      </w:r>
      <w:r w:rsidR="001B4861" w:rsidRPr="00A35516">
        <w:rPr>
          <w:rFonts w:cs="Arial"/>
          <w:szCs w:val="24"/>
          <w:lang w:eastAsia="ja-JP"/>
        </w:rPr>
        <w:t xml:space="preserve"> </w:t>
      </w:r>
      <w:r w:rsidR="00EE6155" w:rsidRPr="00A35516">
        <w:rPr>
          <w:rFonts w:cs="Arial"/>
          <w:szCs w:val="24"/>
          <w:lang w:eastAsia="ja-JP"/>
        </w:rPr>
        <w:t xml:space="preserve">Economic Activity levels have increased from 76.7% in 2014 to </w:t>
      </w:r>
      <w:r w:rsidR="00830428">
        <w:rPr>
          <w:rFonts w:cs="Arial"/>
          <w:szCs w:val="24"/>
          <w:lang w:eastAsia="ja-JP"/>
        </w:rPr>
        <w:t>78</w:t>
      </w:r>
      <w:r w:rsidR="00EE6155" w:rsidRPr="00A35516">
        <w:rPr>
          <w:rFonts w:cs="Arial"/>
          <w:szCs w:val="24"/>
          <w:lang w:eastAsia="ja-JP"/>
        </w:rPr>
        <w:t xml:space="preserve">% </w:t>
      </w:r>
      <w:r w:rsidR="00830428">
        <w:rPr>
          <w:rFonts w:cs="Arial"/>
          <w:szCs w:val="24"/>
          <w:lang w:eastAsia="ja-JP"/>
        </w:rPr>
        <w:t xml:space="preserve">in June 2019 </w:t>
      </w:r>
      <w:r w:rsidR="00EE6155" w:rsidRPr="00A35516">
        <w:rPr>
          <w:rFonts w:cs="Arial"/>
          <w:szCs w:val="24"/>
          <w:lang w:eastAsia="ja-JP"/>
        </w:rPr>
        <w:t>(NOMIS</w:t>
      </w:r>
      <w:r w:rsidR="00830428">
        <w:rPr>
          <w:rFonts w:cs="Arial"/>
          <w:szCs w:val="24"/>
          <w:lang w:eastAsia="ja-JP"/>
        </w:rPr>
        <w:t xml:space="preserve"> - </w:t>
      </w:r>
      <w:r w:rsidR="00EE6155" w:rsidRPr="00A35516">
        <w:rPr>
          <w:rFonts w:cs="Arial"/>
          <w:szCs w:val="24"/>
          <w:lang w:eastAsia="ja-JP"/>
        </w:rPr>
        <w:t>Official Labour Market Statistic</w:t>
      </w:r>
      <w:r w:rsidR="00830428">
        <w:rPr>
          <w:rFonts w:cs="Arial"/>
          <w:szCs w:val="24"/>
          <w:lang w:eastAsia="ja-JP"/>
        </w:rPr>
        <w:t>s</w:t>
      </w:r>
      <w:r w:rsidR="00EE6155" w:rsidRPr="00A35516">
        <w:rPr>
          <w:rFonts w:cs="Arial"/>
          <w:szCs w:val="24"/>
          <w:lang w:eastAsia="ja-JP"/>
        </w:rPr>
        <w:t xml:space="preserve">).  </w:t>
      </w:r>
    </w:p>
    <w:p w14:paraId="69D74CA6" w14:textId="77777777" w:rsidR="00FF2488" w:rsidRDefault="00FF2488" w:rsidP="00FD61BA">
      <w:pPr>
        <w:jc w:val="both"/>
        <w:rPr>
          <w:rFonts w:cs="Arial"/>
          <w:szCs w:val="24"/>
          <w:lang w:eastAsia="ja-JP"/>
        </w:rPr>
      </w:pPr>
    </w:p>
    <w:p w14:paraId="03A46F66" w14:textId="77777777" w:rsidR="005614A5" w:rsidRPr="00894203" w:rsidRDefault="00CD521B" w:rsidP="00894203">
      <w:pPr>
        <w:jc w:val="both"/>
        <w:rPr>
          <w:rFonts w:cs="Arial"/>
          <w:szCs w:val="24"/>
          <w:lang w:eastAsia="ja-JP"/>
        </w:rPr>
      </w:pPr>
      <w:r>
        <w:rPr>
          <w:rFonts w:cs="Arial"/>
          <w:b/>
          <w:szCs w:val="24"/>
          <w:lang w:eastAsia="ja-JP"/>
        </w:rPr>
        <w:t xml:space="preserve">3.15 </w:t>
      </w:r>
      <w:r w:rsidR="00FF2488" w:rsidRPr="005B2012">
        <w:rPr>
          <w:rFonts w:cs="Arial"/>
          <w:b/>
          <w:szCs w:val="24"/>
          <w:lang w:eastAsia="ja-JP"/>
        </w:rPr>
        <w:t>Town Centre</w:t>
      </w:r>
      <w:r>
        <w:rPr>
          <w:rFonts w:cs="Arial"/>
          <w:b/>
          <w:szCs w:val="24"/>
          <w:lang w:eastAsia="ja-JP"/>
        </w:rPr>
        <w:t xml:space="preserve"> - </w:t>
      </w:r>
      <w:r w:rsidR="005614A5" w:rsidRPr="00894203">
        <w:rPr>
          <w:rFonts w:cs="Arial"/>
          <w:szCs w:val="24"/>
          <w:lang w:eastAsia="ja-JP"/>
        </w:rPr>
        <w:t xml:space="preserve">In March 2020, the majority of businesses in the town centre shut down in response to government guidance following the COVID-19 outbreak. </w:t>
      </w:r>
    </w:p>
    <w:p w14:paraId="56524F88" w14:textId="77777777" w:rsidR="005614A5" w:rsidRPr="00894203" w:rsidRDefault="005614A5" w:rsidP="00894203">
      <w:pPr>
        <w:jc w:val="both"/>
        <w:rPr>
          <w:rFonts w:cs="Arial"/>
          <w:szCs w:val="24"/>
          <w:lang w:eastAsia="ja-JP"/>
        </w:rPr>
      </w:pPr>
    </w:p>
    <w:p w14:paraId="2EC1E614" w14:textId="77777777" w:rsidR="005614A5" w:rsidRPr="00A062AF" w:rsidRDefault="005614A5" w:rsidP="00894203">
      <w:pPr>
        <w:jc w:val="both"/>
        <w:rPr>
          <w:rFonts w:cs="Arial"/>
          <w:szCs w:val="24"/>
          <w:lang w:eastAsia="ja-JP"/>
        </w:rPr>
      </w:pPr>
      <w:r w:rsidRPr="00894203">
        <w:rPr>
          <w:rFonts w:cs="Arial"/>
          <w:szCs w:val="24"/>
          <w:lang w:eastAsia="ja-JP"/>
        </w:rPr>
        <w:t xml:space="preserve">Around 60% of premises in the District Centres and Harrow Town Centre will be able to open from the 15th June. Harrow Council has been awarded </w:t>
      </w:r>
      <w:r>
        <w:rPr>
          <w:rFonts w:cs="Arial"/>
          <w:szCs w:val="24"/>
          <w:lang w:eastAsia="ja-JP"/>
        </w:rPr>
        <w:t>£221,203 fro</w:t>
      </w:r>
      <w:r w:rsidRPr="00A062AF">
        <w:rPr>
          <w:rFonts w:cs="Arial"/>
          <w:szCs w:val="24"/>
          <w:lang w:eastAsia="ja-JP"/>
        </w:rPr>
        <w:t xml:space="preserve">m the Reopening High Streets Safely Fund to support the reopening of those places. A series of measures have been planned and costed to utilise this fund to enable social distancing and the movement of shoppers within those centres. In tandem with this a capital programme has been developed to improve walking and cycle routes into those centres to shift people from public transport and cars. </w:t>
      </w:r>
    </w:p>
    <w:p w14:paraId="5FA466A7" w14:textId="77777777" w:rsidR="005614A5" w:rsidRPr="00A062AF" w:rsidRDefault="005614A5" w:rsidP="00894203">
      <w:pPr>
        <w:jc w:val="both"/>
        <w:rPr>
          <w:rFonts w:cs="Arial"/>
          <w:szCs w:val="24"/>
          <w:lang w:eastAsia="ja-JP"/>
        </w:rPr>
      </w:pPr>
    </w:p>
    <w:p w14:paraId="41030942" w14:textId="38437414" w:rsidR="005614A5" w:rsidRPr="00A062AF" w:rsidRDefault="006E2FDF" w:rsidP="00894203">
      <w:pPr>
        <w:jc w:val="both"/>
        <w:rPr>
          <w:rFonts w:cs="Arial"/>
          <w:szCs w:val="24"/>
          <w:lang w:eastAsia="ja-JP"/>
        </w:rPr>
      </w:pPr>
      <w:r>
        <w:rPr>
          <w:rFonts w:cs="Arial"/>
          <w:szCs w:val="24"/>
          <w:lang w:eastAsia="ja-JP"/>
        </w:rPr>
        <w:t>As a consequence of the coronavirus health crisis a</w:t>
      </w:r>
      <w:r w:rsidR="005614A5" w:rsidRPr="00A062AF">
        <w:rPr>
          <w:rFonts w:cs="Arial"/>
          <w:szCs w:val="24"/>
          <w:lang w:eastAsia="ja-JP"/>
        </w:rPr>
        <w:t xml:space="preserve">n application for </w:t>
      </w:r>
      <w:proofErr w:type="spellStart"/>
      <w:r w:rsidR="005614A5" w:rsidRPr="00A062AF">
        <w:rPr>
          <w:rFonts w:cs="Arial"/>
          <w:szCs w:val="24"/>
          <w:lang w:eastAsia="ja-JP"/>
        </w:rPr>
        <w:t>Streetspace</w:t>
      </w:r>
      <w:proofErr w:type="spellEnd"/>
      <w:r w:rsidR="005614A5" w:rsidRPr="00A062AF">
        <w:rPr>
          <w:rFonts w:cs="Arial"/>
          <w:szCs w:val="24"/>
          <w:lang w:eastAsia="ja-JP"/>
        </w:rPr>
        <w:t xml:space="preserve"> funds has been submitted to T</w:t>
      </w:r>
      <w:r w:rsidR="00E866A5">
        <w:rPr>
          <w:rFonts w:cs="Arial"/>
          <w:szCs w:val="24"/>
          <w:lang w:eastAsia="ja-JP"/>
        </w:rPr>
        <w:t>f</w:t>
      </w:r>
      <w:r w:rsidR="005614A5" w:rsidRPr="00A062AF">
        <w:rPr>
          <w:rFonts w:cs="Arial"/>
          <w:szCs w:val="24"/>
          <w:lang w:eastAsia="ja-JP"/>
        </w:rPr>
        <w:t>L</w:t>
      </w:r>
      <w:r>
        <w:rPr>
          <w:rFonts w:cs="Arial"/>
          <w:szCs w:val="24"/>
          <w:lang w:eastAsia="ja-JP"/>
        </w:rPr>
        <w:t xml:space="preserve"> for schemes to increase </w:t>
      </w:r>
      <w:r w:rsidR="006A5CE5">
        <w:rPr>
          <w:rFonts w:cs="Arial"/>
          <w:szCs w:val="24"/>
          <w:lang w:eastAsia="ja-JP"/>
        </w:rPr>
        <w:t>walking and cycling</w:t>
      </w:r>
      <w:r>
        <w:rPr>
          <w:rFonts w:cs="Arial"/>
          <w:szCs w:val="24"/>
          <w:lang w:eastAsia="ja-JP"/>
        </w:rPr>
        <w:t xml:space="preserve"> as an alternative means of travel due to the limited public transport capacity caused by social distancing and a need to restrict the volume of journeys by private car on the road network. </w:t>
      </w:r>
      <w:r w:rsidR="00E866A5">
        <w:rPr>
          <w:rFonts w:cs="Arial"/>
          <w:szCs w:val="24"/>
          <w:lang w:eastAsia="ja-JP"/>
        </w:rPr>
        <w:t xml:space="preserve"> </w:t>
      </w:r>
      <w:r w:rsidR="006A5CE5">
        <w:rPr>
          <w:rFonts w:cs="Arial"/>
          <w:szCs w:val="24"/>
          <w:lang w:eastAsia="ja-JP"/>
        </w:rPr>
        <w:t xml:space="preserve">Many of these improvements whilst temporary in nature could be become longer term interventions with wider benefits for town centres. </w:t>
      </w:r>
      <w:r w:rsidR="005614A5" w:rsidRPr="00A062AF">
        <w:rPr>
          <w:rFonts w:cs="Arial"/>
          <w:szCs w:val="24"/>
          <w:lang w:eastAsia="ja-JP"/>
        </w:rPr>
        <w:t>Th</w:t>
      </w:r>
      <w:r w:rsidR="00E866A5">
        <w:rPr>
          <w:rFonts w:cs="Arial"/>
          <w:szCs w:val="24"/>
          <w:lang w:eastAsia="ja-JP"/>
        </w:rPr>
        <w:t>e</w:t>
      </w:r>
      <w:r w:rsidR="005614A5" w:rsidRPr="00A062AF">
        <w:rPr>
          <w:rFonts w:cs="Arial"/>
          <w:szCs w:val="24"/>
          <w:lang w:eastAsia="ja-JP"/>
        </w:rPr>
        <w:t xml:space="preserve"> programme will be enhanced by funds from Harrow’s </w:t>
      </w:r>
      <w:r w:rsidR="006A5CE5">
        <w:rPr>
          <w:rFonts w:cs="Arial"/>
          <w:szCs w:val="24"/>
          <w:lang w:eastAsia="ja-JP"/>
        </w:rPr>
        <w:t xml:space="preserve">Capital </w:t>
      </w:r>
      <w:r w:rsidR="005614A5" w:rsidRPr="00A062AF">
        <w:rPr>
          <w:rFonts w:cs="Arial"/>
          <w:szCs w:val="24"/>
          <w:lang w:eastAsia="ja-JP"/>
        </w:rPr>
        <w:t xml:space="preserve">High Street Fund to increase the number of people walking and cycling to those centres. Communications will be through HA1BID, Harrow Council Business Newsletter, with local traders groups and </w:t>
      </w:r>
      <w:r>
        <w:rPr>
          <w:rFonts w:cs="Arial"/>
          <w:szCs w:val="24"/>
          <w:lang w:eastAsia="ja-JP"/>
        </w:rPr>
        <w:t>a</w:t>
      </w:r>
      <w:r w:rsidRPr="00A062AF">
        <w:rPr>
          <w:rFonts w:cs="Arial"/>
          <w:szCs w:val="24"/>
          <w:lang w:eastAsia="ja-JP"/>
        </w:rPr>
        <w:t xml:space="preserve"> Commonplace</w:t>
      </w:r>
      <w:r>
        <w:rPr>
          <w:rFonts w:cs="Arial"/>
          <w:szCs w:val="24"/>
          <w:lang w:eastAsia="ja-JP"/>
        </w:rPr>
        <w:t xml:space="preserve"> community engagement </w:t>
      </w:r>
      <w:r w:rsidR="005614A5" w:rsidRPr="00A062AF">
        <w:rPr>
          <w:rFonts w:cs="Arial"/>
          <w:szCs w:val="24"/>
          <w:lang w:eastAsia="ja-JP"/>
        </w:rPr>
        <w:t xml:space="preserve">website. </w:t>
      </w:r>
    </w:p>
    <w:p w14:paraId="2C86F4BB" w14:textId="77777777" w:rsidR="005614A5" w:rsidRPr="00A062AF" w:rsidRDefault="005614A5" w:rsidP="00894203">
      <w:pPr>
        <w:jc w:val="both"/>
        <w:rPr>
          <w:rFonts w:cs="Arial"/>
          <w:szCs w:val="24"/>
          <w:lang w:eastAsia="ja-JP"/>
        </w:rPr>
      </w:pPr>
    </w:p>
    <w:p w14:paraId="506775E9" w14:textId="77777777" w:rsidR="00026289" w:rsidRDefault="005614A5" w:rsidP="00B665A3">
      <w:pPr>
        <w:jc w:val="both"/>
        <w:rPr>
          <w:rFonts w:cs="Arial"/>
          <w:szCs w:val="24"/>
          <w:lang w:eastAsia="ja-JP"/>
        </w:rPr>
      </w:pPr>
      <w:r w:rsidRPr="00A062AF">
        <w:rPr>
          <w:rFonts w:cs="Arial"/>
          <w:szCs w:val="24"/>
          <w:lang w:eastAsia="ja-JP"/>
        </w:rPr>
        <w:t>The Public and Community Protection team is assessing options to widen pavement. They are working with Business Improvement District (BID), Estates and Highways to set up a system in the town centre to ensure public safety. They are also reviewing restrictions on off sales for licensing in place under Government guidance.</w:t>
      </w:r>
    </w:p>
    <w:p w14:paraId="2C234C87" w14:textId="77777777" w:rsidR="00985B5E" w:rsidRDefault="00985B5E" w:rsidP="00B665A3">
      <w:pPr>
        <w:jc w:val="both"/>
        <w:rPr>
          <w:rFonts w:cs="Arial"/>
          <w:lang w:val="en-US"/>
        </w:rPr>
      </w:pPr>
      <w:r>
        <w:rPr>
          <w:rFonts w:cs="Arial"/>
        </w:rPr>
        <w:t>In</w:t>
      </w:r>
      <w:r w:rsidRPr="00F12651">
        <w:rPr>
          <w:rFonts w:cs="Arial"/>
        </w:rPr>
        <w:t xml:space="preserve"> the period June 2018 to June 2019 Harrow</w:t>
      </w:r>
      <w:r>
        <w:rPr>
          <w:rFonts w:cs="Arial"/>
        </w:rPr>
        <w:t>’</w:t>
      </w:r>
      <w:r w:rsidRPr="00F12651">
        <w:rPr>
          <w:rFonts w:cs="Arial"/>
        </w:rPr>
        <w:t xml:space="preserve">s major; district and local centre </w:t>
      </w:r>
      <w:r>
        <w:rPr>
          <w:rFonts w:cs="Arial"/>
        </w:rPr>
        <w:t xml:space="preserve">shop </w:t>
      </w:r>
      <w:r w:rsidRPr="00F12651">
        <w:rPr>
          <w:rFonts w:cs="Arial"/>
        </w:rPr>
        <w:t xml:space="preserve">vacancy rates have </w:t>
      </w:r>
      <w:r w:rsidRPr="00F12651">
        <w:rPr>
          <w:rFonts w:cs="Arial"/>
          <w:lang w:val="en-US"/>
        </w:rPr>
        <w:t xml:space="preserve">risen </w:t>
      </w:r>
      <w:r>
        <w:rPr>
          <w:rFonts w:cs="Arial"/>
          <w:lang w:val="en-US"/>
        </w:rPr>
        <w:t xml:space="preserve">slightly </w:t>
      </w:r>
      <w:r w:rsidRPr="00F12651">
        <w:rPr>
          <w:rFonts w:cs="Arial"/>
          <w:lang w:val="en-US"/>
        </w:rPr>
        <w:t xml:space="preserve">from </w:t>
      </w:r>
      <w:r w:rsidRPr="00063331">
        <w:rPr>
          <w:rFonts w:cs="Arial"/>
          <w:lang w:val="en-US"/>
        </w:rPr>
        <w:t>3.05% to 4.2</w:t>
      </w:r>
      <w:r>
        <w:rPr>
          <w:rFonts w:cs="Arial"/>
          <w:lang w:val="en-US"/>
        </w:rPr>
        <w:t>8</w:t>
      </w:r>
      <w:r w:rsidRPr="00063331">
        <w:rPr>
          <w:rFonts w:cs="Arial"/>
          <w:lang w:val="en-US"/>
        </w:rPr>
        <w:t xml:space="preserve">% </w:t>
      </w:r>
      <w:r w:rsidRPr="00063331">
        <w:rPr>
          <w:rFonts w:cs="Arial"/>
        </w:rPr>
        <w:t>across Harrow’s district cen</w:t>
      </w:r>
      <w:r w:rsidRPr="00F12651">
        <w:rPr>
          <w:rFonts w:cs="Arial"/>
        </w:rPr>
        <w:t xml:space="preserve">tres and </w:t>
      </w:r>
      <w:r>
        <w:rPr>
          <w:rFonts w:cs="Arial"/>
        </w:rPr>
        <w:t xml:space="preserve">the </w:t>
      </w:r>
      <w:r w:rsidRPr="00F12651">
        <w:rPr>
          <w:rFonts w:cs="Arial"/>
        </w:rPr>
        <w:t xml:space="preserve">Metropolitan Centre. </w:t>
      </w:r>
      <w:r w:rsidRPr="00F12651">
        <w:rPr>
          <w:rFonts w:cs="Arial"/>
          <w:lang w:val="en-US"/>
        </w:rPr>
        <w:t xml:space="preserve">This increase largely relates to changes in Burnt Oak and </w:t>
      </w:r>
      <w:proofErr w:type="spellStart"/>
      <w:r w:rsidRPr="00F12651">
        <w:rPr>
          <w:rFonts w:cs="Arial"/>
          <w:lang w:val="en-US"/>
        </w:rPr>
        <w:t>Edgware</w:t>
      </w:r>
      <w:proofErr w:type="spellEnd"/>
      <w:r>
        <w:rPr>
          <w:rFonts w:cs="Arial"/>
          <w:lang w:val="en-US"/>
        </w:rPr>
        <w:t>, based on those units located within Harrow only</w:t>
      </w:r>
      <w:r w:rsidRPr="00F12651">
        <w:rPr>
          <w:rFonts w:cs="Arial"/>
          <w:lang w:val="en-US"/>
        </w:rPr>
        <w:t>. It should be noted that the vacancy rates in the Heart of Harrow Opportunity Area have dropped over a 5</w:t>
      </w:r>
      <w:r>
        <w:rPr>
          <w:rFonts w:cs="Arial"/>
          <w:lang w:val="en-US"/>
        </w:rPr>
        <w:t>-</w:t>
      </w:r>
      <w:r w:rsidRPr="00F12651">
        <w:rPr>
          <w:rFonts w:cs="Arial"/>
          <w:lang w:val="en-US"/>
        </w:rPr>
        <w:t xml:space="preserve">year period by 1.09% in Harrow Town Centre and by 4.91% in Wealdstone. The resilience of these </w:t>
      </w:r>
      <w:proofErr w:type="spellStart"/>
      <w:r w:rsidRPr="00F12651">
        <w:rPr>
          <w:rFonts w:cs="Arial"/>
          <w:lang w:val="en-US"/>
        </w:rPr>
        <w:t>cent</w:t>
      </w:r>
      <w:r>
        <w:rPr>
          <w:rFonts w:cs="Arial"/>
          <w:lang w:val="en-US"/>
        </w:rPr>
        <w:t>re</w:t>
      </w:r>
      <w:r w:rsidRPr="00F12651">
        <w:rPr>
          <w:rFonts w:cs="Arial"/>
          <w:lang w:val="en-US"/>
        </w:rPr>
        <w:t>s</w:t>
      </w:r>
      <w:proofErr w:type="spellEnd"/>
      <w:r w:rsidRPr="00F12651">
        <w:rPr>
          <w:rFonts w:cs="Arial"/>
          <w:lang w:val="en-US"/>
        </w:rPr>
        <w:t xml:space="preserve"> is </w:t>
      </w:r>
      <w:r w:rsidRPr="00F12651">
        <w:rPr>
          <w:rFonts w:cs="Arial"/>
          <w:lang w:val="en-US"/>
        </w:rPr>
        <w:lastRenderedPageBreak/>
        <w:t>notable, given a national background of increased vacancy rates due to an increase in internet shopping.</w:t>
      </w:r>
    </w:p>
    <w:p w14:paraId="613BAB8F" w14:textId="77777777" w:rsidR="003619D8" w:rsidRDefault="003619D8" w:rsidP="00B665A3">
      <w:pPr>
        <w:jc w:val="both"/>
        <w:rPr>
          <w:rFonts w:cs="Arial"/>
          <w:lang w:val="en-US"/>
        </w:rPr>
      </w:pPr>
    </w:p>
    <w:p w14:paraId="493188F5" w14:textId="77777777" w:rsidR="003619D8" w:rsidRPr="003619D8" w:rsidRDefault="003619D8" w:rsidP="00B665A3">
      <w:pPr>
        <w:spacing w:after="120"/>
        <w:jc w:val="both"/>
        <w:rPr>
          <w:rFonts w:cs="Arial"/>
          <w:szCs w:val="24"/>
        </w:rPr>
      </w:pPr>
      <w:r w:rsidRPr="003619D8">
        <w:rPr>
          <w:rFonts w:cs="Arial"/>
          <w:szCs w:val="24"/>
        </w:rPr>
        <w:t xml:space="preserve">Following consultations on public realm improvements, a procurement process has been undertaken to select artists to provide public art in Rayners Lane and Wealdstone. The intention is that the art will help provide a sense of identity to these district centres. </w:t>
      </w:r>
    </w:p>
    <w:p w14:paraId="0C5FEA16" w14:textId="77777777" w:rsidR="00985B5E" w:rsidRDefault="00985B5E" w:rsidP="00B665A3">
      <w:pPr>
        <w:jc w:val="both"/>
        <w:rPr>
          <w:rFonts w:cs="Arial"/>
          <w:b/>
          <w:szCs w:val="24"/>
        </w:rPr>
      </w:pPr>
    </w:p>
    <w:p w14:paraId="56A4019E" w14:textId="39EB8098" w:rsidR="005614A5" w:rsidRPr="00A062AF" w:rsidRDefault="00CD521B" w:rsidP="00CD521B">
      <w:pPr>
        <w:spacing w:line="276" w:lineRule="auto"/>
        <w:contextualSpacing/>
        <w:jc w:val="both"/>
        <w:rPr>
          <w:rFonts w:cs="Arial"/>
          <w:szCs w:val="24"/>
          <w:lang w:eastAsia="ja-JP"/>
        </w:rPr>
      </w:pPr>
      <w:r>
        <w:rPr>
          <w:rFonts w:cs="Arial"/>
          <w:b/>
          <w:szCs w:val="24"/>
        </w:rPr>
        <w:t>3.1</w:t>
      </w:r>
      <w:r w:rsidR="00AE3DB2">
        <w:rPr>
          <w:rFonts w:cs="Arial"/>
          <w:b/>
          <w:szCs w:val="24"/>
        </w:rPr>
        <w:t>6</w:t>
      </w:r>
      <w:r>
        <w:rPr>
          <w:rFonts w:cs="Arial"/>
          <w:b/>
          <w:szCs w:val="24"/>
        </w:rPr>
        <w:t xml:space="preserve"> </w:t>
      </w:r>
      <w:r w:rsidR="005614A5" w:rsidRPr="00A062AF">
        <w:rPr>
          <w:rFonts w:cs="Arial"/>
          <w:b/>
          <w:szCs w:val="24"/>
        </w:rPr>
        <w:t>Parks</w:t>
      </w:r>
      <w:r>
        <w:rPr>
          <w:rFonts w:cs="Arial"/>
          <w:b/>
          <w:szCs w:val="24"/>
        </w:rPr>
        <w:t xml:space="preserve"> - </w:t>
      </w:r>
      <w:r w:rsidR="005614A5" w:rsidRPr="00A062AF">
        <w:rPr>
          <w:rFonts w:cs="Arial"/>
          <w:szCs w:val="24"/>
          <w:lang w:eastAsia="ja-JP"/>
        </w:rPr>
        <w:t>With the relaxation of lockdown restrictions, all the boroughs parks are opened apart from outdoor gyms and playgrounds which remain prohibited under law.  Basketball courts have remained shut but all tennis courts are now open apart from Pinner Village as this would mean opening the playground.</w:t>
      </w:r>
    </w:p>
    <w:p w14:paraId="6CDEEA01" w14:textId="77777777" w:rsidR="005614A5" w:rsidRPr="00894203" w:rsidRDefault="005614A5" w:rsidP="00FD61BA">
      <w:pPr>
        <w:jc w:val="both"/>
        <w:rPr>
          <w:rFonts w:cs="Arial"/>
          <w:szCs w:val="24"/>
          <w:lang w:eastAsia="ja-JP"/>
        </w:rPr>
      </w:pPr>
    </w:p>
    <w:p w14:paraId="3EC41FE0" w14:textId="5C399F22" w:rsidR="002D14F9" w:rsidRPr="00CD521B" w:rsidRDefault="00AE3DB2" w:rsidP="00894203">
      <w:pPr>
        <w:jc w:val="both"/>
        <w:rPr>
          <w:rFonts w:cs="Arial"/>
          <w:b/>
          <w:szCs w:val="24"/>
          <w:lang w:eastAsia="ja-JP"/>
        </w:rPr>
      </w:pPr>
      <w:r>
        <w:rPr>
          <w:rFonts w:cs="Arial"/>
          <w:b/>
          <w:szCs w:val="24"/>
          <w:lang w:eastAsia="ja-JP"/>
        </w:rPr>
        <w:t>3.17</w:t>
      </w:r>
      <w:r w:rsidR="00CD521B" w:rsidRPr="00CD521B">
        <w:rPr>
          <w:rFonts w:cs="Arial"/>
          <w:b/>
          <w:szCs w:val="24"/>
          <w:lang w:eastAsia="ja-JP"/>
        </w:rPr>
        <w:t xml:space="preserve"> </w:t>
      </w:r>
      <w:r w:rsidR="002D14F9" w:rsidRPr="00B665A3">
        <w:rPr>
          <w:rFonts w:cs="Arial"/>
          <w:b/>
          <w:szCs w:val="24"/>
          <w:lang w:eastAsia="ja-JP"/>
        </w:rPr>
        <w:t>Maximising local economic benefits</w:t>
      </w:r>
    </w:p>
    <w:p w14:paraId="0507A36E" w14:textId="77777777" w:rsidR="002D14F9" w:rsidRPr="00894203" w:rsidRDefault="002D14F9" w:rsidP="00894203">
      <w:pPr>
        <w:jc w:val="both"/>
        <w:rPr>
          <w:rFonts w:cs="Arial"/>
          <w:szCs w:val="24"/>
          <w:lang w:eastAsia="ja-JP"/>
        </w:rPr>
      </w:pPr>
    </w:p>
    <w:p w14:paraId="11155847" w14:textId="5291EBA8" w:rsidR="00FF2488" w:rsidRPr="00894203" w:rsidRDefault="00FF2488" w:rsidP="00894203">
      <w:pPr>
        <w:jc w:val="both"/>
        <w:rPr>
          <w:rFonts w:cs="Arial"/>
          <w:szCs w:val="24"/>
          <w:lang w:eastAsia="ja-JP"/>
        </w:rPr>
      </w:pPr>
      <w:r w:rsidRPr="00B665A3">
        <w:rPr>
          <w:rFonts w:cs="Arial"/>
          <w:b/>
          <w:szCs w:val="24"/>
          <w:lang w:eastAsia="ja-JP"/>
        </w:rPr>
        <w:t>Performance Measure:</w:t>
      </w:r>
      <w:r w:rsidRPr="00894203">
        <w:rPr>
          <w:rFonts w:cs="Arial"/>
          <w:szCs w:val="24"/>
          <w:lang w:eastAsia="ja-JP"/>
        </w:rPr>
        <w:t xml:space="preserve">  Jobs created </w:t>
      </w:r>
      <w:r w:rsidR="00C63BDF" w:rsidRPr="00894203">
        <w:rPr>
          <w:rFonts w:cs="Arial"/>
          <w:szCs w:val="24"/>
          <w:lang w:eastAsia="ja-JP"/>
        </w:rPr>
        <w:t>including</w:t>
      </w:r>
      <w:r w:rsidRPr="00894203">
        <w:rPr>
          <w:rFonts w:cs="Arial"/>
          <w:szCs w:val="24"/>
          <w:lang w:eastAsia="ja-JP"/>
        </w:rPr>
        <w:t xml:space="preserve"> apprenticeships, local labour and local suppliers engaged and spend in the local supply chain.  Private sector investment, new commercial space, new business located in Harrow </w:t>
      </w:r>
    </w:p>
    <w:p w14:paraId="7AE860CC" w14:textId="77777777" w:rsidR="00FF2488" w:rsidRPr="00894203" w:rsidRDefault="00FF2488" w:rsidP="00894203">
      <w:pPr>
        <w:jc w:val="both"/>
        <w:rPr>
          <w:rFonts w:cs="Arial"/>
          <w:szCs w:val="24"/>
          <w:lang w:eastAsia="ja-JP"/>
        </w:rPr>
      </w:pPr>
      <w:r w:rsidRPr="00894203">
        <w:rPr>
          <w:rFonts w:cs="Arial"/>
          <w:szCs w:val="24"/>
          <w:lang w:eastAsia="ja-JP"/>
        </w:rPr>
        <w:t>15% spend with local suppliers and 500 young people into jobs and apprenticeships.</w:t>
      </w:r>
    </w:p>
    <w:p w14:paraId="3FD67D7A" w14:textId="77777777" w:rsidR="00FF2488" w:rsidRPr="00894203" w:rsidRDefault="00FF2488" w:rsidP="00894203">
      <w:pPr>
        <w:jc w:val="both"/>
        <w:rPr>
          <w:rFonts w:cs="Arial"/>
          <w:szCs w:val="24"/>
          <w:lang w:eastAsia="ja-JP"/>
        </w:rPr>
      </w:pPr>
    </w:p>
    <w:p w14:paraId="22988578" w14:textId="77777777" w:rsidR="00FF2488" w:rsidRPr="00894203" w:rsidRDefault="00B1058F" w:rsidP="00894203">
      <w:pPr>
        <w:jc w:val="both"/>
        <w:rPr>
          <w:rFonts w:cs="Arial"/>
          <w:szCs w:val="24"/>
          <w:lang w:eastAsia="ja-JP"/>
        </w:rPr>
      </w:pPr>
      <w:r w:rsidRPr="00B665A3">
        <w:rPr>
          <w:rFonts w:cs="Arial"/>
          <w:b/>
          <w:szCs w:val="24"/>
          <w:lang w:eastAsia="ja-JP"/>
        </w:rPr>
        <w:t>Outcome:</w:t>
      </w:r>
      <w:r w:rsidRPr="00894203">
        <w:rPr>
          <w:rFonts w:cs="Arial"/>
          <w:szCs w:val="24"/>
          <w:lang w:eastAsia="ja-JP"/>
        </w:rPr>
        <w:t xml:space="preserve">  Increased Business start-ups, business growth/retention and increased economic activity.  </w:t>
      </w:r>
      <w:r w:rsidR="00FF2488" w:rsidRPr="00894203">
        <w:rPr>
          <w:rFonts w:cs="Arial"/>
          <w:szCs w:val="24"/>
          <w:lang w:eastAsia="ja-JP"/>
        </w:rPr>
        <w:t>Skills profile further enhanced, economic benefits throughout the supply chain, improved business facilities and supporting infrastructure.  Business growth, business resilience, jobs created enhanced skills and productivity.</w:t>
      </w:r>
    </w:p>
    <w:p w14:paraId="5044FF65" w14:textId="77777777" w:rsidR="00FD61BA" w:rsidRPr="00894203" w:rsidRDefault="00FD61BA" w:rsidP="00894203">
      <w:pPr>
        <w:jc w:val="both"/>
        <w:rPr>
          <w:rFonts w:cs="Arial"/>
          <w:szCs w:val="24"/>
          <w:lang w:eastAsia="ja-JP"/>
        </w:rPr>
      </w:pPr>
    </w:p>
    <w:p w14:paraId="54032BFD" w14:textId="77777777" w:rsidR="00FF2488" w:rsidRDefault="002D14F9" w:rsidP="00FD61BA">
      <w:pPr>
        <w:shd w:val="clear" w:color="auto" w:fill="FFFFFF" w:themeFill="background1"/>
        <w:jc w:val="both"/>
        <w:rPr>
          <w:rFonts w:eastAsia="Calibri" w:cs="Arial"/>
        </w:rPr>
      </w:pPr>
      <w:r w:rsidRPr="00A62728">
        <w:rPr>
          <w:rFonts w:eastAsia="Calibri" w:cs="Arial"/>
          <w:b/>
        </w:rPr>
        <w:t>Performance to date:</w:t>
      </w:r>
      <w:r w:rsidRPr="00A62728">
        <w:rPr>
          <w:rFonts w:eastAsia="Calibri" w:cs="Arial"/>
        </w:rPr>
        <w:t xml:space="preserve"> </w:t>
      </w:r>
    </w:p>
    <w:p w14:paraId="18BB7A22" w14:textId="77777777" w:rsidR="00251670" w:rsidRDefault="00251670" w:rsidP="00FD61BA">
      <w:pPr>
        <w:pStyle w:val="NoSpacing"/>
        <w:jc w:val="both"/>
        <w:rPr>
          <w:rFonts w:ascii="Arial" w:eastAsia="Calibri" w:hAnsi="Arial" w:cs="Arial"/>
          <w:b/>
          <w:sz w:val="24"/>
        </w:rPr>
      </w:pPr>
    </w:p>
    <w:p w14:paraId="6B492013" w14:textId="0BA5A7CE" w:rsidR="008B7729" w:rsidRPr="00004F17" w:rsidRDefault="00CD521B" w:rsidP="00CD521B">
      <w:pPr>
        <w:shd w:val="clear" w:color="auto" w:fill="FFFFFF" w:themeFill="background1"/>
        <w:jc w:val="both"/>
        <w:rPr>
          <w:rFonts w:eastAsia="Calibri" w:cs="Arial"/>
        </w:rPr>
      </w:pPr>
      <w:r>
        <w:rPr>
          <w:rFonts w:eastAsia="Calibri" w:cs="Arial"/>
          <w:b/>
        </w:rPr>
        <w:t>3.1</w:t>
      </w:r>
      <w:r w:rsidR="00AE3DB2">
        <w:rPr>
          <w:rFonts w:eastAsia="Calibri" w:cs="Arial"/>
          <w:b/>
        </w:rPr>
        <w:t>8</w:t>
      </w:r>
      <w:r>
        <w:rPr>
          <w:rFonts w:eastAsia="Calibri" w:cs="Arial"/>
          <w:b/>
        </w:rPr>
        <w:t xml:space="preserve"> </w:t>
      </w:r>
      <w:r w:rsidR="005614A5" w:rsidRPr="00FF2488">
        <w:rPr>
          <w:rFonts w:eastAsia="Calibri" w:cs="Arial"/>
          <w:b/>
        </w:rPr>
        <w:t>Economic Activity</w:t>
      </w:r>
      <w:r>
        <w:rPr>
          <w:rFonts w:eastAsia="Calibri" w:cs="Arial"/>
          <w:b/>
        </w:rPr>
        <w:t xml:space="preserve"> - </w:t>
      </w:r>
      <w:r w:rsidR="008B7729" w:rsidRPr="00004F17">
        <w:rPr>
          <w:rFonts w:eastAsia="Calibri" w:cs="Arial"/>
        </w:rPr>
        <w:t>COVID-19 has had a significant impact on the economic activity in Harrow since March 2020.</w:t>
      </w:r>
      <w:r w:rsidR="00121072">
        <w:rPr>
          <w:rFonts w:eastAsia="Calibri" w:cs="Arial"/>
        </w:rPr>
        <w:t xml:space="preserve"> </w:t>
      </w:r>
      <w:r w:rsidR="00121072" w:rsidRPr="00121072">
        <w:rPr>
          <w:rFonts w:eastAsia="Calibri" w:cs="Arial"/>
        </w:rPr>
        <w:t xml:space="preserve">Early indications from the monitoring of key indicators show a reduction in business rate collection performance of approximately 5% as at 15/6/20. </w:t>
      </w:r>
      <w:r w:rsidR="00890E6E" w:rsidRPr="00121072">
        <w:rPr>
          <w:rFonts w:eastAsia="Calibri" w:cs="Arial"/>
        </w:rPr>
        <w:t>However,</w:t>
      </w:r>
      <w:r w:rsidR="00121072" w:rsidRPr="00121072">
        <w:rPr>
          <w:rFonts w:eastAsia="Calibri" w:cs="Arial"/>
        </w:rPr>
        <w:t xml:space="preserve"> this is from a much reduced collection target of £38m instead of £56m considering that the awarding of 100% retail relief to around 3,200 businesses reduced the collectible yield by around £18m. Rent collection from council tenants is also down from 97.00% in March 2020 to 74.36% in April 2020.  </w:t>
      </w:r>
      <w:r w:rsidR="008B7729" w:rsidRPr="00004F17">
        <w:rPr>
          <w:rFonts w:eastAsia="Calibri" w:cs="Arial"/>
        </w:rPr>
        <w:t xml:space="preserve"> </w:t>
      </w:r>
    </w:p>
    <w:p w14:paraId="6F605BCE" w14:textId="77777777" w:rsidR="008B7729" w:rsidRPr="00004F17" w:rsidRDefault="008B7729" w:rsidP="00FD61BA">
      <w:pPr>
        <w:pStyle w:val="NoSpacing"/>
        <w:jc w:val="both"/>
        <w:rPr>
          <w:rFonts w:ascii="Arial" w:eastAsia="Calibri" w:hAnsi="Arial" w:cs="Arial"/>
          <w:sz w:val="24"/>
        </w:rPr>
      </w:pPr>
    </w:p>
    <w:p w14:paraId="5711C5E4" w14:textId="28B8B4E5" w:rsidR="002C26CB" w:rsidRPr="002C26CB" w:rsidRDefault="008B7729" w:rsidP="002C26CB">
      <w:pPr>
        <w:rPr>
          <w:rFonts w:eastAsia="Calibri" w:cs="Arial"/>
          <w:color w:val="1F497D"/>
          <w:sz w:val="22"/>
          <w:szCs w:val="22"/>
        </w:rPr>
      </w:pPr>
      <w:r w:rsidRPr="00004F17">
        <w:rPr>
          <w:rFonts w:eastAsia="Calibri" w:cs="Arial"/>
        </w:rPr>
        <w:t xml:space="preserve">The number of planning applications reduced from 394 in March 2020 to 267 in April 2020, </w:t>
      </w:r>
      <w:r w:rsidR="002C26CB">
        <w:rPr>
          <w:rFonts w:eastAsia="Calibri" w:cs="Arial"/>
        </w:rPr>
        <w:t xml:space="preserve">which </w:t>
      </w:r>
      <w:r w:rsidR="00890E6E">
        <w:rPr>
          <w:rFonts w:eastAsia="Calibri" w:cs="Arial"/>
        </w:rPr>
        <w:t xml:space="preserve">was </w:t>
      </w:r>
      <w:r w:rsidR="00890E6E" w:rsidRPr="00004F17">
        <w:rPr>
          <w:rFonts w:eastAsia="Calibri" w:cs="Arial"/>
        </w:rPr>
        <w:t>the</w:t>
      </w:r>
      <w:r w:rsidRPr="00004F17">
        <w:rPr>
          <w:rFonts w:eastAsia="Calibri" w:cs="Arial"/>
        </w:rPr>
        <w:t xml:space="preserve"> lowest number of applications in the data collected.   </w:t>
      </w:r>
      <w:r w:rsidR="002C26CB">
        <w:rPr>
          <w:rFonts w:eastAsia="Calibri" w:cs="Arial"/>
        </w:rPr>
        <w:t>T</w:t>
      </w:r>
      <w:r w:rsidR="002C26CB" w:rsidRPr="002C26CB">
        <w:rPr>
          <w:rFonts w:eastAsia="Calibri" w:cs="Arial"/>
        </w:rPr>
        <w:t xml:space="preserve">he </w:t>
      </w:r>
      <w:r w:rsidR="002C26CB" w:rsidRPr="002C26CB">
        <w:rPr>
          <w:rFonts w:eastAsia="Calibri" w:cs="Arial"/>
          <w:iCs/>
        </w:rPr>
        <w:t xml:space="preserve">number of applications received in May </w:t>
      </w:r>
      <w:r w:rsidR="002C26CB">
        <w:rPr>
          <w:rFonts w:eastAsia="Calibri" w:cs="Arial"/>
          <w:iCs/>
        </w:rPr>
        <w:t xml:space="preserve">then increased to 292 which </w:t>
      </w:r>
      <w:r w:rsidR="005A74F1">
        <w:rPr>
          <w:rFonts w:eastAsia="Calibri" w:cs="Arial"/>
          <w:iCs/>
        </w:rPr>
        <w:t>i</w:t>
      </w:r>
      <w:r w:rsidR="002C26CB">
        <w:rPr>
          <w:rFonts w:eastAsia="Calibri" w:cs="Arial"/>
          <w:iCs/>
        </w:rPr>
        <w:t>s</w:t>
      </w:r>
      <w:r w:rsidR="002C26CB" w:rsidRPr="002C26CB">
        <w:rPr>
          <w:rFonts w:eastAsia="Calibri" w:cs="Arial"/>
          <w:iCs/>
        </w:rPr>
        <w:t xml:space="preserve"> encouraging</w:t>
      </w:r>
      <w:r w:rsidR="002C26CB" w:rsidRPr="002C26CB">
        <w:rPr>
          <w:rFonts w:eastAsia="Calibri" w:cs="Arial"/>
        </w:rPr>
        <w:t xml:space="preserve"> </w:t>
      </w:r>
      <w:r w:rsidR="00890E6E">
        <w:rPr>
          <w:rFonts w:eastAsia="Calibri" w:cs="Arial"/>
        </w:rPr>
        <w:t>the</w:t>
      </w:r>
      <w:r w:rsidR="0077066E" w:rsidRPr="00004F17">
        <w:rPr>
          <w:rFonts w:eastAsia="Calibri" w:cs="Arial"/>
        </w:rPr>
        <w:t xml:space="preserve"> true impact of COVID-19 is yet to be fully understood</w:t>
      </w:r>
      <w:r w:rsidR="002C26CB">
        <w:rPr>
          <w:rFonts w:eastAsia="Calibri" w:cs="Arial"/>
        </w:rPr>
        <w:t xml:space="preserve"> and</w:t>
      </w:r>
      <w:r w:rsidR="00C63BDF">
        <w:rPr>
          <w:rFonts w:eastAsia="Calibri" w:cs="Arial"/>
        </w:rPr>
        <w:t xml:space="preserve"> </w:t>
      </w:r>
      <w:r w:rsidR="002C26CB">
        <w:rPr>
          <w:rFonts w:eastAsia="Calibri" w:cs="Arial"/>
        </w:rPr>
        <w:t>t</w:t>
      </w:r>
      <w:r w:rsidR="0077066E" w:rsidRPr="00004F17">
        <w:rPr>
          <w:rFonts w:eastAsia="Calibri" w:cs="Arial"/>
        </w:rPr>
        <w:t>rends will likely emerge over the coming months</w:t>
      </w:r>
      <w:r w:rsidR="002C26CB">
        <w:rPr>
          <w:rFonts w:eastAsia="Calibri" w:cs="Arial"/>
        </w:rPr>
        <w:t xml:space="preserve"> and will be monitored</w:t>
      </w:r>
    </w:p>
    <w:p w14:paraId="7695D6E5" w14:textId="77777777" w:rsidR="002D14F9" w:rsidRPr="00857C5B" w:rsidRDefault="002D14F9" w:rsidP="00FD61BA">
      <w:pPr>
        <w:pStyle w:val="NoSpacing"/>
        <w:jc w:val="both"/>
        <w:rPr>
          <w:rFonts w:ascii="Arial" w:hAnsi="Arial" w:cs="Arial"/>
          <w:b/>
          <w:sz w:val="24"/>
          <w:szCs w:val="24"/>
        </w:rPr>
      </w:pPr>
    </w:p>
    <w:p w14:paraId="52C85D00" w14:textId="1CA8D2CB" w:rsidR="00857C5B" w:rsidRDefault="00AE3DB2" w:rsidP="00857C5B">
      <w:pPr>
        <w:pStyle w:val="Heading1"/>
        <w:jc w:val="both"/>
        <w:rPr>
          <w:rFonts w:eastAsia="Calibri"/>
          <w:color w:val="000000"/>
          <w:szCs w:val="24"/>
        </w:rPr>
      </w:pPr>
      <w:r>
        <w:rPr>
          <w:rFonts w:ascii="Arial" w:hAnsi="Arial"/>
          <w:b/>
          <w:bCs w:val="0"/>
          <w:sz w:val="24"/>
          <w:szCs w:val="24"/>
          <w:lang w:eastAsia="en-GB"/>
        </w:rPr>
        <w:t>3.19</w:t>
      </w:r>
      <w:r w:rsidR="00857C5B" w:rsidRPr="00857C5B">
        <w:rPr>
          <w:rFonts w:ascii="Arial" w:hAnsi="Arial"/>
          <w:b/>
          <w:bCs w:val="0"/>
          <w:sz w:val="24"/>
          <w:szCs w:val="24"/>
          <w:lang w:eastAsia="en-GB"/>
        </w:rPr>
        <w:t xml:space="preserve"> Economic Recovery</w:t>
      </w:r>
      <w:r w:rsidR="00857C5B">
        <w:rPr>
          <w:rFonts w:ascii="Arial" w:hAnsi="Arial"/>
          <w:b/>
          <w:bCs w:val="0"/>
          <w:sz w:val="24"/>
          <w:szCs w:val="24"/>
          <w:lang w:eastAsia="en-GB"/>
        </w:rPr>
        <w:t xml:space="preserve"> </w:t>
      </w:r>
      <w:r w:rsidR="00857C5B" w:rsidRPr="00857C5B">
        <w:rPr>
          <w:rFonts w:ascii="Arial" w:hAnsi="Arial"/>
          <w:b/>
          <w:bCs w:val="0"/>
          <w:sz w:val="24"/>
          <w:szCs w:val="24"/>
          <w:lang w:eastAsia="en-GB"/>
        </w:rPr>
        <w:t xml:space="preserve">- </w:t>
      </w:r>
      <w:r w:rsidR="00857C5B" w:rsidRPr="00857C5B">
        <w:rPr>
          <w:rFonts w:ascii="Arial" w:eastAsia="Calibri" w:hAnsi="Arial"/>
          <w:color w:val="000000"/>
          <w:sz w:val="24"/>
          <w:szCs w:val="24"/>
        </w:rPr>
        <w:t xml:space="preserve">Harrow’s local economy like many other local authorities has been significantly impacted COVID-19.  West London’s economic recovery is key to the recovery of the wider London and the UK.  Therefore, Harrow senior officers are working with the West London Alliance </w:t>
      </w:r>
      <w:r w:rsidR="00857C5B" w:rsidRPr="00857C5B">
        <w:rPr>
          <w:rFonts w:ascii="Arial" w:eastAsia="Calibri" w:hAnsi="Arial"/>
          <w:color w:val="000000"/>
          <w:sz w:val="24"/>
          <w:szCs w:val="24"/>
        </w:rPr>
        <w:lastRenderedPageBreak/>
        <w:t>Leaders Board which have created an “Economic Recovery Vision” for West London.</w:t>
      </w:r>
    </w:p>
    <w:p w14:paraId="6BA4B2F2" w14:textId="77777777" w:rsidR="00857C5B" w:rsidRPr="00857C5B" w:rsidRDefault="00857C5B" w:rsidP="00857C5B">
      <w:pPr>
        <w:spacing w:line="276" w:lineRule="auto"/>
        <w:contextualSpacing/>
        <w:jc w:val="both"/>
        <w:rPr>
          <w:rFonts w:eastAsia="Calibri" w:cs="Arial"/>
          <w:color w:val="000000"/>
          <w:szCs w:val="24"/>
        </w:rPr>
      </w:pPr>
    </w:p>
    <w:p w14:paraId="2871E7F9" w14:textId="77777777" w:rsidR="00857C5B" w:rsidRPr="00857C5B" w:rsidRDefault="00857C5B" w:rsidP="00857C5B">
      <w:pPr>
        <w:spacing w:line="276" w:lineRule="auto"/>
        <w:contextualSpacing/>
        <w:jc w:val="both"/>
        <w:rPr>
          <w:rFonts w:eastAsia="Calibri" w:cs="Arial"/>
          <w:b/>
          <w:color w:val="000000"/>
          <w:szCs w:val="24"/>
        </w:rPr>
      </w:pPr>
      <w:r w:rsidRPr="00857C5B">
        <w:rPr>
          <w:rFonts w:eastAsia="Calibri" w:cs="Arial"/>
          <w:b/>
          <w:color w:val="000000"/>
          <w:szCs w:val="24"/>
        </w:rPr>
        <w:t>There are 7 themes in this vision:</w:t>
      </w:r>
    </w:p>
    <w:p w14:paraId="34DD1140" w14:textId="77777777" w:rsidR="00857C5B" w:rsidRPr="00857C5B" w:rsidRDefault="00857C5B" w:rsidP="00857C5B">
      <w:pPr>
        <w:numPr>
          <w:ilvl w:val="0"/>
          <w:numId w:val="6"/>
        </w:numPr>
        <w:autoSpaceDE w:val="0"/>
        <w:autoSpaceDN w:val="0"/>
        <w:adjustRightInd w:val="0"/>
        <w:spacing w:after="200" w:line="276" w:lineRule="auto"/>
        <w:contextualSpacing/>
        <w:jc w:val="both"/>
        <w:rPr>
          <w:rFonts w:eastAsia="Calibri" w:cs="Arial"/>
          <w:color w:val="000000"/>
          <w:szCs w:val="24"/>
          <w:lang w:eastAsia="en-GB"/>
        </w:rPr>
      </w:pPr>
      <w:r w:rsidRPr="00857C5B">
        <w:rPr>
          <w:rFonts w:eastAsia="Calibri" w:cs="Arial"/>
          <w:bCs/>
          <w:color w:val="000000"/>
          <w:szCs w:val="24"/>
          <w:lang w:eastAsia="en-GB"/>
        </w:rPr>
        <w:t>Sustainability and the circular economy</w:t>
      </w:r>
    </w:p>
    <w:p w14:paraId="1FEB9D44" w14:textId="77777777" w:rsidR="00857C5B" w:rsidRPr="00857C5B" w:rsidRDefault="00857C5B" w:rsidP="00857C5B">
      <w:pPr>
        <w:numPr>
          <w:ilvl w:val="0"/>
          <w:numId w:val="6"/>
        </w:numPr>
        <w:autoSpaceDE w:val="0"/>
        <w:autoSpaceDN w:val="0"/>
        <w:adjustRightInd w:val="0"/>
        <w:spacing w:after="200" w:line="276" w:lineRule="auto"/>
        <w:contextualSpacing/>
        <w:jc w:val="both"/>
        <w:rPr>
          <w:rFonts w:eastAsia="Calibri" w:cs="Arial"/>
          <w:color w:val="000000"/>
          <w:szCs w:val="24"/>
          <w:lang w:eastAsia="en-GB"/>
        </w:rPr>
      </w:pPr>
      <w:r w:rsidRPr="00857C5B">
        <w:rPr>
          <w:rFonts w:eastAsia="Calibri" w:cs="Arial"/>
          <w:bCs/>
          <w:color w:val="000000"/>
          <w:szCs w:val="24"/>
          <w:lang w:eastAsia="en-GB"/>
        </w:rPr>
        <w:t>Social and economic inclusion</w:t>
      </w:r>
    </w:p>
    <w:p w14:paraId="2CFD0B74" w14:textId="77777777" w:rsidR="00857C5B" w:rsidRPr="00857C5B" w:rsidRDefault="00857C5B" w:rsidP="00857C5B">
      <w:pPr>
        <w:numPr>
          <w:ilvl w:val="0"/>
          <w:numId w:val="6"/>
        </w:numPr>
        <w:autoSpaceDE w:val="0"/>
        <w:autoSpaceDN w:val="0"/>
        <w:adjustRightInd w:val="0"/>
        <w:spacing w:after="200" w:line="276" w:lineRule="auto"/>
        <w:contextualSpacing/>
        <w:jc w:val="both"/>
        <w:rPr>
          <w:rFonts w:eastAsia="Calibri" w:cs="Arial"/>
          <w:color w:val="000000"/>
          <w:szCs w:val="24"/>
          <w:lang w:eastAsia="en-GB"/>
        </w:rPr>
      </w:pPr>
      <w:r w:rsidRPr="00857C5B">
        <w:rPr>
          <w:rFonts w:eastAsia="Calibri" w:cs="Arial"/>
          <w:bCs/>
          <w:color w:val="000000"/>
          <w:szCs w:val="24"/>
          <w:lang w:eastAsia="en-GB"/>
        </w:rPr>
        <w:t xml:space="preserve">Data and digital innovation </w:t>
      </w:r>
    </w:p>
    <w:p w14:paraId="02AD1B24" w14:textId="77777777" w:rsidR="00857C5B" w:rsidRPr="00857C5B" w:rsidRDefault="00857C5B" w:rsidP="00857C5B">
      <w:pPr>
        <w:numPr>
          <w:ilvl w:val="0"/>
          <w:numId w:val="6"/>
        </w:numPr>
        <w:autoSpaceDE w:val="0"/>
        <w:autoSpaceDN w:val="0"/>
        <w:adjustRightInd w:val="0"/>
        <w:spacing w:after="200" w:line="276" w:lineRule="auto"/>
        <w:contextualSpacing/>
        <w:jc w:val="both"/>
        <w:rPr>
          <w:rFonts w:eastAsia="Calibri" w:cs="Arial"/>
          <w:color w:val="000000"/>
          <w:szCs w:val="24"/>
          <w:lang w:eastAsia="en-GB"/>
        </w:rPr>
      </w:pPr>
      <w:r w:rsidRPr="00857C5B">
        <w:rPr>
          <w:rFonts w:eastAsia="Calibri" w:cs="Arial"/>
          <w:bCs/>
          <w:color w:val="000000"/>
          <w:szCs w:val="24"/>
          <w:lang w:eastAsia="en-GB"/>
        </w:rPr>
        <w:t>Global connectivity</w:t>
      </w:r>
    </w:p>
    <w:p w14:paraId="45F6D7D2" w14:textId="77777777" w:rsidR="00857C5B" w:rsidRPr="00857C5B" w:rsidRDefault="00857C5B" w:rsidP="00857C5B">
      <w:pPr>
        <w:numPr>
          <w:ilvl w:val="0"/>
          <w:numId w:val="6"/>
        </w:numPr>
        <w:autoSpaceDE w:val="0"/>
        <w:autoSpaceDN w:val="0"/>
        <w:adjustRightInd w:val="0"/>
        <w:spacing w:after="200" w:line="276" w:lineRule="auto"/>
        <w:contextualSpacing/>
        <w:jc w:val="both"/>
        <w:rPr>
          <w:rFonts w:eastAsia="Calibri" w:cs="Arial"/>
          <w:color w:val="000000"/>
          <w:szCs w:val="24"/>
          <w:lang w:eastAsia="en-GB"/>
        </w:rPr>
      </w:pPr>
      <w:r w:rsidRPr="00857C5B">
        <w:rPr>
          <w:rFonts w:eastAsia="Calibri" w:cs="Arial"/>
          <w:bCs/>
          <w:color w:val="000000"/>
          <w:szCs w:val="24"/>
          <w:lang w:eastAsia="en-GB"/>
        </w:rPr>
        <w:t>Work and productivity</w:t>
      </w:r>
    </w:p>
    <w:p w14:paraId="29C25F6C" w14:textId="77777777" w:rsidR="00857C5B" w:rsidRPr="00857C5B" w:rsidRDefault="00857C5B" w:rsidP="00857C5B">
      <w:pPr>
        <w:numPr>
          <w:ilvl w:val="0"/>
          <w:numId w:val="6"/>
        </w:numPr>
        <w:autoSpaceDE w:val="0"/>
        <w:autoSpaceDN w:val="0"/>
        <w:adjustRightInd w:val="0"/>
        <w:spacing w:after="200" w:line="276" w:lineRule="auto"/>
        <w:contextualSpacing/>
        <w:jc w:val="both"/>
        <w:rPr>
          <w:rFonts w:eastAsia="Calibri" w:cs="Arial"/>
          <w:color w:val="000000"/>
          <w:szCs w:val="24"/>
          <w:lang w:eastAsia="en-GB"/>
        </w:rPr>
      </w:pPr>
      <w:r w:rsidRPr="00857C5B">
        <w:rPr>
          <w:rFonts w:eastAsia="Calibri" w:cs="Arial"/>
          <w:bCs/>
          <w:color w:val="000000"/>
          <w:szCs w:val="24"/>
          <w:lang w:eastAsia="en-GB"/>
        </w:rPr>
        <w:t>Growing sectors</w:t>
      </w:r>
    </w:p>
    <w:p w14:paraId="20D36B55" w14:textId="77777777" w:rsidR="00857C5B" w:rsidRPr="00857C5B" w:rsidRDefault="00857C5B" w:rsidP="00857C5B">
      <w:pPr>
        <w:numPr>
          <w:ilvl w:val="0"/>
          <w:numId w:val="6"/>
        </w:numPr>
        <w:autoSpaceDE w:val="0"/>
        <w:autoSpaceDN w:val="0"/>
        <w:adjustRightInd w:val="0"/>
        <w:spacing w:after="200" w:line="276" w:lineRule="auto"/>
        <w:contextualSpacing/>
        <w:jc w:val="both"/>
        <w:rPr>
          <w:rFonts w:eastAsia="Calibri" w:cs="Arial"/>
          <w:color w:val="000000"/>
          <w:szCs w:val="24"/>
          <w:lang w:eastAsia="en-GB"/>
        </w:rPr>
      </w:pPr>
      <w:r w:rsidRPr="00857C5B">
        <w:rPr>
          <w:rFonts w:eastAsia="Calibri" w:cs="Arial"/>
          <w:bCs/>
          <w:color w:val="000000"/>
          <w:szCs w:val="24"/>
          <w:lang w:eastAsia="en-GB"/>
        </w:rPr>
        <w:t>Devolution</w:t>
      </w:r>
    </w:p>
    <w:p w14:paraId="69C95F16" w14:textId="77777777" w:rsidR="00857C5B" w:rsidRPr="00857C5B" w:rsidRDefault="00857C5B" w:rsidP="00857C5B">
      <w:pPr>
        <w:spacing w:line="276" w:lineRule="auto"/>
        <w:contextualSpacing/>
        <w:jc w:val="both"/>
        <w:rPr>
          <w:rFonts w:eastAsia="Calibri" w:cs="Arial"/>
          <w:color w:val="000000"/>
          <w:szCs w:val="24"/>
        </w:rPr>
      </w:pPr>
    </w:p>
    <w:p w14:paraId="6D51CC92" w14:textId="3B9A4DDD" w:rsidR="00857C5B" w:rsidRPr="00857C5B" w:rsidRDefault="00AE3DB2" w:rsidP="00857C5B">
      <w:pPr>
        <w:spacing w:line="276" w:lineRule="auto"/>
        <w:contextualSpacing/>
        <w:jc w:val="both"/>
        <w:rPr>
          <w:rFonts w:eastAsia="Calibri" w:cs="Arial"/>
          <w:b/>
          <w:color w:val="000000"/>
          <w:szCs w:val="24"/>
        </w:rPr>
      </w:pPr>
      <w:r>
        <w:rPr>
          <w:rFonts w:eastAsia="Calibri" w:cs="Arial"/>
          <w:b/>
          <w:color w:val="000000"/>
          <w:szCs w:val="24"/>
        </w:rPr>
        <w:t>3.20</w:t>
      </w:r>
      <w:r w:rsidR="00857C5B">
        <w:rPr>
          <w:rFonts w:eastAsia="Calibri" w:cs="Arial"/>
          <w:b/>
          <w:color w:val="000000"/>
          <w:szCs w:val="24"/>
        </w:rPr>
        <w:t xml:space="preserve"> </w:t>
      </w:r>
      <w:r w:rsidR="00857C5B" w:rsidRPr="00857C5B">
        <w:rPr>
          <w:rFonts w:eastAsia="Calibri" w:cs="Arial"/>
          <w:b/>
          <w:color w:val="000000"/>
          <w:szCs w:val="24"/>
        </w:rPr>
        <w:t>Economic impact of Covid-19 in West London</w:t>
      </w:r>
    </w:p>
    <w:p w14:paraId="7621E75C" w14:textId="76AD5936" w:rsidR="00857C5B" w:rsidRPr="00857C5B" w:rsidRDefault="00857C5B" w:rsidP="00857C5B">
      <w:pPr>
        <w:numPr>
          <w:ilvl w:val="0"/>
          <w:numId w:val="7"/>
        </w:numPr>
        <w:autoSpaceDE w:val="0"/>
        <w:autoSpaceDN w:val="0"/>
        <w:adjustRightInd w:val="0"/>
        <w:spacing w:after="200" w:line="276" w:lineRule="auto"/>
        <w:contextualSpacing/>
        <w:jc w:val="both"/>
        <w:rPr>
          <w:rFonts w:eastAsia="Calibri" w:cs="Arial"/>
          <w:color w:val="000000"/>
          <w:szCs w:val="24"/>
          <w:lang w:eastAsia="en-GB"/>
        </w:rPr>
      </w:pPr>
      <w:r w:rsidRPr="00857C5B">
        <w:rPr>
          <w:rFonts w:eastAsia="Calibri" w:cs="Arial"/>
          <w:color w:val="000000"/>
          <w:szCs w:val="24"/>
          <w:lang w:eastAsia="en-GB"/>
        </w:rPr>
        <w:t>Passenger demand 97% down at Heathrow in May</w:t>
      </w:r>
      <w:r>
        <w:rPr>
          <w:rFonts w:eastAsia="Calibri" w:cs="Arial"/>
          <w:color w:val="000000"/>
          <w:szCs w:val="24"/>
          <w:lang w:eastAsia="en-GB"/>
        </w:rPr>
        <w:t xml:space="preserve"> with a </w:t>
      </w:r>
      <w:r w:rsidR="006B1EEC">
        <w:rPr>
          <w:rFonts w:eastAsia="Calibri" w:cs="Arial"/>
          <w:color w:val="000000"/>
          <w:szCs w:val="24"/>
          <w:lang w:eastAsia="en-GB"/>
        </w:rPr>
        <w:t>possible i</w:t>
      </w:r>
      <w:r w:rsidR="006B1EEC" w:rsidRPr="00857C5B">
        <w:rPr>
          <w:rFonts w:eastAsia="Calibri" w:cs="Arial"/>
          <w:color w:val="000000"/>
          <w:szCs w:val="24"/>
          <w:lang w:eastAsia="en-GB"/>
        </w:rPr>
        <w:t>mplication</w:t>
      </w:r>
      <w:r w:rsidRPr="00857C5B">
        <w:rPr>
          <w:rFonts w:eastAsia="Calibri" w:cs="Arial"/>
          <w:color w:val="000000"/>
          <w:szCs w:val="24"/>
          <w:lang w:eastAsia="en-GB"/>
        </w:rPr>
        <w:t xml:space="preserve"> for 80</w:t>
      </w:r>
      <w:r w:rsidR="006B1EEC">
        <w:rPr>
          <w:rFonts w:eastAsia="Calibri" w:cs="Arial"/>
          <w:color w:val="000000"/>
          <w:szCs w:val="24"/>
          <w:lang w:eastAsia="en-GB"/>
        </w:rPr>
        <w:t>,000 plus</w:t>
      </w:r>
      <w:r w:rsidRPr="00857C5B">
        <w:rPr>
          <w:rFonts w:eastAsia="Calibri" w:cs="Arial"/>
          <w:color w:val="000000"/>
          <w:szCs w:val="24"/>
          <w:lang w:eastAsia="en-GB"/>
        </w:rPr>
        <w:t xml:space="preserve"> jobs</w:t>
      </w:r>
    </w:p>
    <w:p w14:paraId="0DB5AB09" w14:textId="31737836" w:rsidR="00857C5B" w:rsidRPr="00857C5B" w:rsidRDefault="00857C5B" w:rsidP="00857C5B">
      <w:pPr>
        <w:numPr>
          <w:ilvl w:val="0"/>
          <w:numId w:val="7"/>
        </w:numPr>
        <w:autoSpaceDE w:val="0"/>
        <w:autoSpaceDN w:val="0"/>
        <w:adjustRightInd w:val="0"/>
        <w:spacing w:after="200" w:line="276" w:lineRule="auto"/>
        <w:contextualSpacing/>
        <w:jc w:val="both"/>
        <w:rPr>
          <w:rFonts w:eastAsia="Calibri" w:cs="Arial"/>
          <w:color w:val="000000"/>
          <w:szCs w:val="24"/>
          <w:lang w:eastAsia="en-GB"/>
        </w:rPr>
      </w:pPr>
      <w:r w:rsidRPr="00857C5B">
        <w:rPr>
          <w:rFonts w:eastAsia="Calibri" w:cs="Arial"/>
          <w:color w:val="000000"/>
          <w:szCs w:val="24"/>
          <w:lang w:eastAsia="en-GB"/>
        </w:rPr>
        <w:t>Micro-businesses</w:t>
      </w:r>
      <w:r>
        <w:rPr>
          <w:rFonts w:eastAsia="Calibri" w:cs="Arial"/>
          <w:color w:val="000000"/>
          <w:szCs w:val="24"/>
          <w:lang w:eastAsia="en-GB"/>
        </w:rPr>
        <w:t xml:space="preserve"> </w:t>
      </w:r>
      <w:r w:rsidR="006B1EEC">
        <w:rPr>
          <w:rFonts w:eastAsia="Calibri" w:cs="Arial"/>
          <w:color w:val="000000"/>
          <w:szCs w:val="24"/>
          <w:lang w:eastAsia="en-GB"/>
        </w:rPr>
        <w:t xml:space="preserve">are </w:t>
      </w:r>
      <w:r w:rsidR="006B1EEC" w:rsidRPr="00857C5B">
        <w:rPr>
          <w:rFonts w:eastAsia="Calibri" w:cs="Arial"/>
          <w:color w:val="000000"/>
          <w:szCs w:val="24"/>
          <w:lang w:eastAsia="en-GB"/>
        </w:rPr>
        <w:t>particularly</w:t>
      </w:r>
      <w:r w:rsidRPr="00857C5B">
        <w:rPr>
          <w:rFonts w:eastAsia="Calibri" w:cs="Arial"/>
          <w:color w:val="000000"/>
          <w:szCs w:val="24"/>
          <w:lang w:eastAsia="en-GB"/>
        </w:rPr>
        <w:t xml:space="preserve"> vulnerable</w:t>
      </w:r>
    </w:p>
    <w:p w14:paraId="0D6F406E" w14:textId="57CE3675" w:rsidR="00857C5B" w:rsidRPr="00857C5B" w:rsidRDefault="00857C5B" w:rsidP="00857C5B">
      <w:pPr>
        <w:numPr>
          <w:ilvl w:val="0"/>
          <w:numId w:val="7"/>
        </w:numPr>
        <w:autoSpaceDE w:val="0"/>
        <w:autoSpaceDN w:val="0"/>
        <w:adjustRightInd w:val="0"/>
        <w:spacing w:after="200" w:line="276" w:lineRule="auto"/>
        <w:contextualSpacing/>
        <w:jc w:val="both"/>
        <w:rPr>
          <w:rFonts w:eastAsia="Calibri" w:cs="Arial"/>
          <w:color w:val="000000"/>
          <w:szCs w:val="24"/>
          <w:lang w:eastAsia="en-GB"/>
        </w:rPr>
      </w:pPr>
      <w:r w:rsidRPr="00857C5B">
        <w:rPr>
          <w:rFonts w:eastAsia="Calibri" w:cs="Arial"/>
          <w:color w:val="000000"/>
          <w:szCs w:val="24"/>
          <w:lang w:eastAsia="en-GB"/>
        </w:rPr>
        <w:t xml:space="preserve">Loss of </w:t>
      </w:r>
      <w:r>
        <w:rPr>
          <w:rFonts w:eastAsia="Calibri" w:cs="Arial"/>
          <w:color w:val="000000"/>
          <w:szCs w:val="24"/>
          <w:lang w:eastAsia="en-GB"/>
        </w:rPr>
        <w:t xml:space="preserve">customer </w:t>
      </w:r>
      <w:r w:rsidRPr="00857C5B">
        <w:rPr>
          <w:rFonts w:eastAsia="Calibri" w:cs="Arial"/>
          <w:color w:val="000000"/>
          <w:szCs w:val="24"/>
          <w:lang w:eastAsia="en-GB"/>
        </w:rPr>
        <w:t xml:space="preserve">spending in local economies </w:t>
      </w:r>
    </w:p>
    <w:p w14:paraId="00076C5E" w14:textId="6AA669E5" w:rsidR="00857C5B" w:rsidRPr="00857C5B" w:rsidRDefault="006B1EEC" w:rsidP="00857C5B">
      <w:pPr>
        <w:numPr>
          <w:ilvl w:val="0"/>
          <w:numId w:val="7"/>
        </w:numPr>
        <w:autoSpaceDE w:val="0"/>
        <w:autoSpaceDN w:val="0"/>
        <w:adjustRightInd w:val="0"/>
        <w:spacing w:after="200" w:line="276" w:lineRule="auto"/>
        <w:contextualSpacing/>
        <w:jc w:val="both"/>
        <w:rPr>
          <w:rFonts w:eastAsia="Calibri" w:cs="Arial"/>
          <w:color w:val="000000"/>
          <w:szCs w:val="24"/>
          <w:lang w:eastAsia="en-GB"/>
        </w:rPr>
      </w:pPr>
      <w:r>
        <w:rPr>
          <w:rFonts w:eastAsia="Calibri" w:cs="Arial"/>
          <w:color w:val="000000"/>
          <w:szCs w:val="24"/>
          <w:lang w:eastAsia="en-GB"/>
        </w:rPr>
        <w:t>Sectors such as n</w:t>
      </w:r>
      <w:r w:rsidR="00857C5B" w:rsidRPr="00857C5B">
        <w:rPr>
          <w:rFonts w:eastAsia="Calibri" w:cs="Arial"/>
          <w:color w:val="000000"/>
          <w:szCs w:val="24"/>
          <w:lang w:eastAsia="en-GB"/>
        </w:rPr>
        <w:t xml:space="preserve">on-food retail, hospitality, leisure </w:t>
      </w:r>
      <w:r>
        <w:rPr>
          <w:rFonts w:eastAsia="Calibri" w:cs="Arial"/>
          <w:color w:val="000000"/>
          <w:szCs w:val="24"/>
          <w:lang w:eastAsia="en-GB"/>
        </w:rPr>
        <w:t>impacted</w:t>
      </w:r>
      <w:r w:rsidR="00857C5B" w:rsidRPr="00857C5B">
        <w:rPr>
          <w:rFonts w:eastAsia="Calibri" w:cs="Arial"/>
          <w:color w:val="000000"/>
          <w:szCs w:val="24"/>
          <w:lang w:eastAsia="en-GB"/>
        </w:rPr>
        <w:t xml:space="preserve"> </w:t>
      </w:r>
    </w:p>
    <w:p w14:paraId="37D512AA" w14:textId="469D32FD" w:rsidR="00857C5B" w:rsidRPr="00857C5B" w:rsidRDefault="00857C5B" w:rsidP="00857C5B">
      <w:pPr>
        <w:numPr>
          <w:ilvl w:val="0"/>
          <w:numId w:val="7"/>
        </w:numPr>
        <w:autoSpaceDE w:val="0"/>
        <w:autoSpaceDN w:val="0"/>
        <w:adjustRightInd w:val="0"/>
        <w:spacing w:after="200" w:line="276" w:lineRule="auto"/>
        <w:contextualSpacing/>
        <w:jc w:val="both"/>
        <w:rPr>
          <w:rFonts w:eastAsia="Calibri" w:cs="Arial"/>
          <w:color w:val="000000"/>
          <w:szCs w:val="24"/>
          <w:lang w:eastAsia="en-GB"/>
        </w:rPr>
      </w:pPr>
      <w:r w:rsidRPr="00857C5B">
        <w:rPr>
          <w:rFonts w:eastAsia="Calibri" w:cs="Arial"/>
          <w:color w:val="000000"/>
          <w:szCs w:val="24"/>
          <w:lang w:eastAsia="en-GB"/>
        </w:rPr>
        <w:t>T</w:t>
      </w:r>
      <w:r w:rsidR="006B1EEC">
        <w:rPr>
          <w:rFonts w:eastAsia="Calibri" w:cs="Arial"/>
          <w:color w:val="000000"/>
          <w:szCs w:val="24"/>
          <w:lang w:eastAsia="en-GB"/>
        </w:rPr>
        <w:t>fL T</w:t>
      </w:r>
      <w:r w:rsidRPr="00857C5B">
        <w:rPr>
          <w:rFonts w:eastAsia="Calibri" w:cs="Arial"/>
          <w:color w:val="000000"/>
          <w:szCs w:val="24"/>
          <w:lang w:eastAsia="en-GB"/>
        </w:rPr>
        <w:t xml:space="preserve">ransport schemes </w:t>
      </w:r>
      <w:r w:rsidR="006B1EEC">
        <w:rPr>
          <w:rFonts w:eastAsia="Calibri" w:cs="Arial"/>
          <w:color w:val="000000"/>
          <w:szCs w:val="24"/>
          <w:lang w:eastAsia="en-GB"/>
        </w:rPr>
        <w:t xml:space="preserve">at risk due to </w:t>
      </w:r>
      <w:r w:rsidRPr="00857C5B">
        <w:rPr>
          <w:rFonts w:eastAsia="Calibri" w:cs="Arial"/>
          <w:color w:val="000000"/>
          <w:szCs w:val="24"/>
          <w:lang w:eastAsia="en-GB"/>
        </w:rPr>
        <w:t>revenue</w:t>
      </w:r>
      <w:r w:rsidR="006B1EEC">
        <w:rPr>
          <w:rFonts w:eastAsia="Calibri" w:cs="Arial"/>
          <w:color w:val="000000"/>
          <w:szCs w:val="24"/>
          <w:lang w:eastAsia="en-GB"/>
        </w:rPr>
        <w:t xml:space="preserve"> cuts</w:t>
      </w:r>
    </w:p>
    <w:p w14:paraId="0439C64D" w14:textId="77777777" w:rsidR="00857C5B" w:rsidRPr="00857C5B" w:rsidRDefault="00857C5B" w:rsidP="00857C5B">
      <w:pPr>
        <w:spacing w:line="276" w:lineRule="auto"/>
        <w:contextualSpacing/>
        <w:jc w:val="both"/>
        <w:rPr>
          <w:rFonts w:eastAsia="Calibri" w:cs="Arial"/>
          <w:color w:val="000000"/>
          <w:szCs w:val="24"/>
        </w:rPr>
      </w:pPr>
    </w:p>
    <w:p w14:paraId="37791E1D" w14:textId="4EE8B928" w:rsidR="00857C5B" w:rsidRPr="00857C5B" w:rsidRDefault="00AE3DB2" w:rsidP="00857C5B">
      <w:pPr>
        <w:spacing w:line="276" w:lineRule="auto"/>
        <w:contextualSpacing/>
        <w:jc w:val="both"/>
        <w:rPr>
          <w:rFonts w:eastAsia="Calibri" w:cs="Arial"/>
          <w:b/>
          <w:color w:val="000000"/>
          <w:szCs w:val="24"/>
        </w:rPr>
      </w:pPr>
      <w:r>
        <w:rPr>
          <w:rFonts w:eastAsia="Calibri" w:cs="Arial"/>
          <w:b/>
          <w:color w:val="000000"/>
          <w:szCs w:val="24"/>
        </w:rPr>
        <w:t>3.21</w:t>
      </w:r>
      <w:r w:rsidR="0001160E">
        <w:rPr>
          <w:rFonts w:eastAsia="Calibri" w:cs="Arial"/>
          <w:b/>
          <w:color w:val="000000"/>
          <w:szCs w:val="24"/>
        </w:rPr>
        <w:t xml:space="preserve"> </w:t>
      </w:r>
      <w:r w:rsidR="00857C5B" w:rsidRPr="00857C5B">
        <w:rPr>
          <w:rFonts w:eastAsia="Calibri" w:cs="Arial"/>
          <w:b/>
          <w:color w:val="000000"/>
          <w:szCs w:val="24"/>
        </w:rPr>
        <w:t>Quantifying the economic impact</w:t>
      </w:r>
    </w:p>
    <w:p w14:paraId="3C850378" w14:textId="343FEA17" w:rsidR="00857C5B" w:rsidRPr="0001160E" w:rsidRDefault="00857C5B" w:rsidP="00857C5B">
      <w:pPr>
        <w:numPr>
          <w:ilvl w:val="0"/>
          <w:numId w:val="8"/>
        </w:numPr>
        <w:autoSpaceDE w:val="0"/>
        <w:autoSpaceDN w:val="0"/>
        <w:adjustRightInd w:val="0"/>
        <w:spacing w:after="200" w:line="276" w:lineRule="auto"/>
        <w:contextualSpacing/>
        <w:jc w:val="both"/>
        <w:rPr>
          <w:rFonts w:eastAsia="Calibri" w:cs="Arial"/>
          <w:color w:val="000000"/>
          <w:szCs w:val="24"/>
          <w:lang w:eastAsia="en-GB"/>
        </w:rPr>
      </w:pPr>
      <w:r w:rsidRPr="0001160E">
        <w:rPr>
          <w:rFonts w:eastAsia="Calibri" w:cs="Arial"/>
          <w:color w:val="000000"/>
          <w:szCs w:val="24"/>
          <w:lang w:eastAsia="en-GB"/>
        </w:rPr>
        <w:t>40,000 job losses in 2020 Baseline Scenario</w:t>
      </w:r>
      <w:r w:rsidR="0001160E">
        <w:rPr>
          <w:rFonts w:eastAsia="Calibri" w:cs="Arial"/>
          <w:color w:val="000000"/>
          <w:szCs w:val="24"/>
          <w:lang w:eastAsia="en-GB"/>
        </w:rPr>
        <w:t xml:space="preserve">, </w:t>
      </w:r>
      <w:r w:rsidRPr="0001160E">
        <w:rPr>
          <w:rFonts w:eastAsia="Calibri" w:cs="Arial"/>
          <w:color w:val="000000"/>
          <w:szCs w:val="24"/>
          <w:lang w:eastAsia="en-GB"/>
        </w:rPr>
        <w:t>50,000 in Downside</w:t>
      </w:r>
      <w:r w:rsidRPr="00857C5B">
        <w:rPr>
          <w:rFonts w:eastAsia="Calibri" w:cs="Arial"/>
          <w:b/>
          <w:bCs/>
          <w:color w:val="000000"/>
          <w:szCs w:val="24"/>
          <w:lang w:eastAsia="en-GB"/>
        </w:rPr>
        <w:t xml:space="preserve"> </w:t>
      </w:r>
      <w:r w:rsidRPr="0001160E">
        <w:rPr>
          <w:rFonts w:eastAsia="Calibri" w:cs="Arial"/>
          <w:color w:val="000000"/>
          <w:szCs w:val="24"/>
          <w:lang w:eastAsia="en-GB"/>
        </w:rPr>
        <w:t xml:space="preserve">Scenario. </w:t>
      </w:r>
    </w:p>
    <w:p w14:paraId="55E2F0A1" w14:textId="77777777" w:rsidR="00857C5B" w:rsidRPr="00857C5B" w:rsidRDefault="00857C5B" w:rsidP="00857C5B">
      <w:pPr>
        <w:numPr>
          <w:ilvl w:val="0"/>
          <w:numId w:val="8"/>
        </w:numPr>
        <w:autoSpaceDE w:val="0"/>
        <w:autoSpaceDN w:val="0"/>
        <w:adjustRightInd w:val="0"/>
        <w:spacing w:after="200" w:line="276" w:lineRule="auto"/>
        <w:contextualSpacing/>
        <w:jc w:val="both"/>
        <w:rPr>
          <w:rFonts w:eastAsia="Calibri" w:cs="Arial"/>
          <w:color w:val="000000"/>
          <w:szCs w:val="24"/>
          <w:lang w:eastAsia="en-GB"/>
        </w:rPr>
      </w:pPr>
      <w:r w:rsidRPr="00857C5B">
        <w:rPr>
          <w:rFonts w:eastAsia="Calibri" w:cs="Arial"/>
          <w:color w:val="000000"/>
          <w:szCs w:val="24"/>
          <w:lang w:eastAsia="en-GB"/>
        </w:rPr>
        <w:t xml:space="preserve">In Baseline, 20,000 jobs recovery in 2021. In Downside, 10,000 more job losses in 2021. </w:t>
      </w:r>
    </w:p>
    <w:p w14:paraId="18811D33" w14:textId="77777777" w:rsidR="00857C5B" w:rsidRPr="00857C5B" w:rsidRDefault="00857C5B" w:rsidP="00857C5B">
      <w:pPr>
        <w:spacing w:line="276" w:lineRule="auto"/>
        <w:contextualSpacing/>
        <w:jc w:val="both"/>
        <w:rPr>
          <w:rFonts w:eastAsia="Calibri" w:cs="Arial"/>
          <w:color w:val="000000"/>
          <w:szCs w:val="24"/>
        </w:rPr>
      </w:pPr>
    </w:p>
    <w:p w14:paraId="2C49FAEE" w14:textId="0CA4A0E8" w:rsidR="00857C5B" w:rsidRPr="00857C5B" w:rsidRDefault="0001160E" w:rsidP="00857C5B">
      <w:pPr>
        <w:spacing w:line="276" w:lineRule="auto"/>
        <w:contextualSpacing/>
        <w:jc w:val="both"/>
        <w:rPr>
          <w:rFonts w:eastAsia="Calibri" w:cs="Arial"/>
          <w:b/>
          <w:color w:val="000000"/>
          <w:szCs w:val="24"/>
        </w:rPr>
      </w:pPr>
      <w:r>
        <w:rPr>
          <w:rFonts w:eastAsia="Calibri" w:cs="Arial"/>
          <w:b/>
          <w:color w:val="000000"/>
          <w:szCs w:val="24"/>
        </w:rPr>
        <w:t>3.2</w:t>
      </w:r>
      <w:r w:rsidR="00AE3DB2">
        <w:rPr>
          <w:rFonts w:eastAsia="Calibri" w:cs="Arial"/>
          <w:b/>
          <w:color w:val="000000"/>
          <w:szCs w:val="24"/>
        </w:rPr>
        <w:t>2</w:t>
      </w:r>
      <w:r>
        <w:rPr>
          <w:rFonts w:eastAsia="Calibri" w:cs="Arial"/>
          <w:b/>
          <w:color w:val="000000"/>
          <w:szCs w:val="24"/>
        </w:rPr>
        <w:t xml:space="preserve"> </w:t>
      </w:r>
      <w:r w:rsidR="00857C5B" w:rsidRPr="00857C5B">
        <w:rPr>
          <w:rFonts w:eastAsia="Calibri" w:cs="Arial"/>
          <w:b/>
          <w:color w:val="000000"/>
          <w:szCs w:val="24"/>
        </w:rPr>
        <w:t>Economic recovery planning focussing on 7 work-streams (each led by a WLA borough)</w:t>
      </w:r>
    </w:p>
    <w:p w14:paraId="2D2C484A" w14:textId="658DC8DD" w:rsidR="00857C5B" w:rsidRPr="00857C5B" w:rsidRDefault="00857C5B" w:rsidP="0001160E">
      <w:pPr>
        <w:numPr>
          <w:ilvl w:val="0"/>
          <w:numId w:val="12"/>
        </w:numPr>
        <w:autoSpaceDE w:val="0"/>
        <w:autoSpaceDN w:val="0"/>
        <w:adjustRightInd w:val="0"/>
        <w:spacing w:after="200" w:line="276" w:lineRule="auto"/>
        <w:ind w:left="360"/>
        <w:contextualSpacing/>
        <w:jc w:val="both"/>
        <w:rPr>
          <w:rFonts w:eastAsia="Calibri" w:cs="Arial"/>
          <w:color w:val="000000"/>
          <w:szCs w:val="24"/>
          <w:lang w:eastAsia="en-GB"/>
        </w:rPr>
      </w:pPr>
      <w:r w:rsidRPr="00857C5B">
        <w:rPr>
          <w:rFonts w:eastAsia="Calibri" w:cs="Arial"/>
          <w:color w:val="000000"/>
          <w:szCs w:val="24"/>
          <w:lang w:eastAsia="en-GB"/>
        </w:rPr>
        <w:t xml:space="preserve">Heathrow </w:t>
      </w:r>
      <w:r w:rsidR="0001160E">
        <w:rPr>
          <w:rFonts w:eastAsia="Calibri" w:cs="Arial"/>
          <w:color w:val="000000"/>
          <w:szCs w:val="24"/>
          <w:lang w:eastAsia="en-GB"/>
        </w:rPr>
        <w:t>and</w:t>
      </w:r>
      <w:r w:rsidRPr="00857C5B">
        <w:rPr>
          <w:rFonts w:eastAsia="Calibri" w:cs="Arial"/>
          <w:color w:val="000000"/>
          <w:szCs w:val="24"/>
          <w:lang w:eastAsia="en-GB"/>
        </w:rPr>
        <w:t xml:space="preserve"> supply chain</w:t>
      </w:r>
    </w:p>
    <w:p w14:paraId="16DE11D5" w14:textId="77777777" w:rsidR="00857C5B" w:rsidRPr="00857C5B" w:rsidRDefault="00857C5B" w:rsidP="0001160E">
      <w:pPr>
        <w:numPr>
          <w:ilvl w:val="0"/>
          <w:numId w:val="12"/>
        </w:numPr>
        <w:autoSpaceDE w:val="0"/>
        <w:autoSpaceDN w:val="0"/>
        <w:adjustRightInd w:val="0"/>
        <w:spacing w:after="200" w:line="276" w:lineRule="auto"/>
        <w:ind w:left="360"/>
        <w:contextualSpacing/>
        <w:jc w:val="both"/>
        <w:rPr>
          <w:rFonts w:eastAsia="Calibri" w:cs="Arial"/>
          <w:color w:val="000000"/>
          <w:szCs w:val="24"/>
          <w:lang w:eastAsia="en-GB"/>
        </w:rPr>
      </w:pPr>
      <w:r w:rsidRPr="00857C5B">
        <w:rPr>
          <w:rFonts w:eastAsia="Calibri" w:cs="Arial"/>
          <w:color w:val="000000"/>
          <w:szCs w:val="24"/>
          <w:lang w:eastAsia="en-GB"/>
        </w:rPr>
        <w:t>Town centres</w:t>
      </w:r>
    </w:p>
    <w:p w14:paraId="605ECEC6" w14:textId="77777777" w:rsidR="00857C5B" w:rsidRPr="00857C5B" w:rsidRDefault="00857C5B" w:rsidP="0001160E">
      <w:pPr>
        <w:numPr>
          <w:ilvl w:val="0"/>
          <w:numId w:val="12"/>
        </w:numPr>
        <w:autoSpaceDE w:val="0"/>
        <w:autoSpaceDN w:val="0"/>
        <w:adjustRightInd w:val="0"/>
        <w:spacing w:after="200" w:line="276" w:lineRule="auto"/>
        <w:ind w:left="360"/>
        <w:contextualSpacing/>
        <w:jc w:val="both"/>
        <w:rPr>
          <w:rFonts w:eastAsia="Calibri" w:cs="Arial"/>
          <w:color w:val="000000"/>
          <w:szCs w:val="24"/>
          <w:lang w:eastAsia="en-GB"/>
        </w:rPr>
      </w:pPr>
      <w:r w:rsidRPr="00857C5B">
        <w:rPr>
          <w:rFonts w:eastAsia="Calibri" w:cs="Arial"/>
          <w:color w:val="000000"/>
          <w:szCs w:val="24"/>
          <w:lang w:eastAsia="en-GB"/>
        </w:rPr>
        <w:t>Microbusinesses and the self-employed</w:t>
      </w:r>
    </w:p>
    <w:p w14:paraId="302F7D30" w14:textId="77777777" w:rsidR="00857C5B" w:rsidRPr="00857C5B" w:rsidRDefault="00857C5B" w:rsidP="0001160E">
      <w:pPr>
        <w:numPr>
          <w:ilvl w:val="0"/>
          <w:numId w:val="12"/>
        </w:numPr>
        <w:autoSpaceDE w:val="0"/>
        <w:autoSpaceDN w:val="0"/>
        <w:adjustRightInd w:val="0"/>
        <w:spacing w:after="200" w:line="276" w:lineRule="auto"/>
        <w:ind w:left="360"/>
        <w:contextualSpacing/>
        <w:jc w:val="both"/>
        <w:rPr>
          <w:rFonts w:eastAsia="Calibri" w:cs="Arial"/>
          <w:color w:val="000000"/>
          <w:szCs w:val="24"/>
          <w:lang w:eastAsia="en-GB"/>
        </w:rPr>
      </w:pPr>
      <w:r w:rsidRPr="00857C5B">
        <w:rPr>
          <w:rFonts w:eastAsia="Calibri" w:cs="Arial"/>
          <w:color w:val="000000"/>
          <w:szCs w:val="24"/>
          <w:lang w:eastAsia="en-GB"/>
        </w:rPr>
        <w:t>Growth Sectors (e.g. digital, green, and life sciences)</w:t>
      </w:r>
    </w:p>
    <w:p w14:paraId="28E26C90" w14:textId="77777777" w:rsidR="00857C5B" w:rsidRPr="00857C5B" w:rsidRDefault="00857C5B" w:rsidP="0001160E">
      <w:pPr>
        <w:numPr>
          <w:ilvl w:val="0"/>
          <w:numId w:val="12"/>
        </w:numPr>
        <w:autoSpaceDE w:val="0"/>
        <w:autoSpaceDN w:val="0"/>
        <w:adjustRightInd w:val="0"/>
        <w:spacing w:after="200" w:line="276" w:lineRule="auto"/>
        <w:ind w:left="360"/>
        <w:contextualSpacing/>
        <w:jc w:val="both"/>
        <w:rPr>
          <w:rFonts w:eastAsia="Calibri" w:cs="Arial"/>
          <w:color w:val="000000"/>
          <w:szCs w:val="24"/>
          <w:lang w:eastAsia="en-GB"/>
        </w:rPr>
      </w:pPr>
      <w:r w:rsidRPr="00857C5B">
        <w:rPr>
          <w:rFonts w:eastAsia="Calibri" w:cs="Arial"/>
          <w:color w:val="000000"/>
          <w:szCs w:val="24"/>
          <w:lang w:eastAsia="en-GB"/>
        </w:rPr>
        <w:t xml:space="preserve">Employment and skills </w:t>
      </w:r>
    </w:p>
    <w:p w14:paraId="116B86CA" w14:textId="77777777" w:rsidR="00857C5B" w:rsidRPr="00857C5B" w:rsidRDefault="00857C5B" w:rsidP="0001160E">
      <w:pPr>
        <w:numPr>
          <w:ilvl w:val="0"/>
          <w:numId w:val="12"/>
        </w:numPr>
        <w:autoSpaceDE w:val="0"/>
        <w:autoSpaceDN w:val="0"/>
        <w:adjustRightInd w:val="0"/>
        <w:spacing w:after="200" w:line="276" w:lineRule="auto"/>
        <w:ind w:left="360"/>
        <w:contextualSpacing/>
        <w:jc w:val="both"/>
        <w:rPr>
          <w:rFonts w:eastAsia="Calibri" w:cs="Arial"/>
          <w:color w:val="000000"/>
          <w:szCs w:val="24"/>
          <w:lang w:eastAsia="en-GB"/>
        </w:rPr>
      </w:pPr>
      <w:r w:rsidRPr="00857C5B">
        <w:rPr>
          <w:rFonts w:eastAsia="Calibri" w:cs="Arial"/>
          <w:color w:val="000000"/>
          <w:szCs w:val="24"/>
          <w:lang w:eastAsia="en-GB"/>
        </w:rPr>
        <w:t>Entrepreneurship / business start-up support</w:t>
      </w:r>
    </w:p>
    <w:p w14:paraId="651EA8E1" w14:textId="1B3AA302" w:rsidR="00857C5B" w:rsidRDefault="00857C5B" w:rsidP="0001160E">
      <w:pPr>
        <w:numPr>
          <w:ilvl w:val="0"/>
          <w:numId w:val="12"/>
        </w:numPr>
        <w:autoSpaceDE w:val="0"/>
        <w:autoSpaceDN w:val="0"/>
        <w:adjustRightInd w:val="0"/>
        <w:spacing w:after="200" w:line="276" w:lineRule="auto"/>
        <w:ind w:left="360"/>
        <w:contextualSpacing/>
        <w:jc w:val="both"/>
        <w:rPr>
          <w:rFonts w:eastAsia="Calibri" w:cs="Arial"/>
          <w:color w:val="000000"/>
          <w:szCs w:val="24"/>
          <w:lang w:eastAsia="en-GB"/>
        </w:rPr>
      </w:pPr>
      <w:r w:rsidRPr="00857C5B">
        <w:rPr>
          <w:rFonts w:eastAsia="Calibri" w:cs="Arial"/>
          <w:color w:val="000000"/>
          <w:szCs w:val="24"/>
          <w:lang w:eastAsia="en-GB"/>
        </w:rPr>
        <w:t>Housing &amp; infrastructure</w:t>
      </w:r>
    </w:p>
    <w:p w14:paraId="338C4C7C" w14:textId="77777777" w:rsidR="00C63BDF" w:rsidRPr="00857C5B" w:rsidRDefault="00C63BDF" w:rsidP="00C161AC">
      <w:pPr>
        <w:autoSpaceDE w:val="0"/>
        <w:autoSpaceDN w:val="0"/>
        <w:adjustRightInd w:val="0"/>
        <w:spacing w:after="200" w:line="276" w:lineRule="auto"/>
        <w:ind w:left="360"/>
        <w:contextualSpacing/>
        <w:jc w:val="both"/>
        <w:rPr>
          <w:rFonts w:eastAsia="Calibri" w:cs="Arial"/>
          <w:color w:val="000000"/>
          <w:szCs w:val="24"/>
          <w:lang w:eastAsia="en-GB"/>
        </w:rPr>
      </w:pPr>
    </w:p>
    <w:p w14:paraId="317F11AD" w14:textId="2AD43A9B" w:rsidR="00E866A5" w:rsidRPr="00AE3DB2" w:rsidRDefault="00D22954" w:rsidP="00E866A5">
      <w:pPr>
        <w:spacing w:line="276" w:lineRule="auto"/>
        <w:contextualSpacing/>
        <w:jc w:val="both"/>
        <w:rPr>
          <w:rFonts w:eastAsia="Calibri" w:cs="Arial"/>
          <w:szCs w:val="24"/>
        </w:rPr>
      </w:pPr>
      <w:r w:rsidRPr="00AE3DB2">
        <w:rPr>
          <w:rFonts w:eastAsia="Calibri" w:cs="Arial"/>
          <w:szCs w:val="24"/>
        </w:rPr>
        <w:t xml:space="preserve">The seven work streams include 2 cross cutting </w:t>
      </w:r>
      <w:r w:rsidR="00C63BDF" w:rsidRPr="00AE3DB2">
        <w:rPr>
          <w:rFonts w:eastAsia="Calibri" w:cs="Arial"/>
          <w:szCs w:val="24"/>
        </w:rPr>
        <w:t>themes:</w:t>
      </w:r>
      <w:r w:rsidRPr="00AE3DB2">
        <w:rPr>
          <w:rFonts w:eastAsia="Calibri" w:cs="Arial"/>
          <w:szCs w:val="24"/>
        </w:rPr>
        <w:t xml:space="preserve"> </w:t>
      </w:r>
      <w:r w:rsidR="00E866A5">
        <w:t>Socio and Economic inclusion.</w:t>
      </w:r>
    </w:p>
    <w:p w14:paraId="10495ED9" w14:textId="77777777" w:rsidR="00C63BDF" w:rsidRPr="00857C5B" w:rsidRDefault="00C63BDF" w:rsidP="0001160E">
      <w:pPr>
        <w:spacing w:line="276" w:lineRule="auto"/>
        <w:contextualSpacing/>
        <w:jc w:val="both"/>
        <w:rPr>
          <w:rFonts w:eastAsia="Calibri" w:cs="Arial"/>
          <w:b/>
          <w:color w:val="0070C0"/>
          <w:szCs w:val="24"/>
        </w:rPr>
      </w:pPr>
    </w:p>
    <w:p w14:paraId="6EE617A4" w14:textId="506D777A" w:rsidR="00857C5B" w:rsidRPr="0001160E" w:rsidRDefault="00AE3DB2" w:rsidP="00857C5B">
      <w:pPr>
        <w:spacing w:line="276" w:lineRule="auto"/>
        <w:contextualSpacing/>
        <w:jc w:val="both"/>
        <w:rPr>
          <w:rFonts w:eastAsia="Calibri" w:cs="Arial"/>
          <w:b/>
          <w:szCs w:val="24"/>
        </w:rPr>
      </w:pPr>
      <w:r>
        <w:rPr>
          <w:rFonts w:eastAsia="Calibri" w:cs="Arial"/>
          <w:b/>
          <w:szCs w:val="24"/>
        </w:rPr>
        <w:t>3.23</w:t>
      </w:r>
      <w:r w:rsidR="0001160E" w:rsidRPr="0001160E">
        <w:rPr>
          <w:rFonts w:eastAsia="Calibri" w:cs="Arial"/>
          <w:b/>
          <w:szCs w:val="24"/>
        </w:rPr>
        <w:t xml:space="preserve"> West London Economic Recovery </w:t>
      </w:r>
      <w:r w:rsidR="0001160E" w:rsidRPr="0001160E">
        <w:rPr>
          <w:rFonts w:eastAsia="Calibri" w:cs="Arial"/>
          <w:bCs/>
          <w:szCs w:val="24"/>
        </w:rPr>
        <w:t>– There are four phases to support West London’s economic recover these are:</w:t>
      </w:r>
      <w:r w:rsidR="0001160E">
        <w:rPr>
          <w:rFonts w:eastAsia="Calibri" w:cs="Arial"/>
          <w:b/>
          <w:szCs w:val="24"/>
        </w:rPr>
        <w:t xml:space="preserve"> </w:t>
      </w:r>
    </w:p>
    <w:p w14:paraId="0C25D229" w14:textId="77777777" w:rsidR="00857C5B" w:rsidRPr="00857C5B" w:rsidRDefault="00857C5B" w:rsidP="00857C5B">
      <w:pPr>
        <w:spacing w:line="276" w:lineRule="auto"/>
        <w:contextualSpacing/>
        <w:jc w:val="both"/>
        <w:rPr>
          <w:rFonts w:eastAsia="Calibri" w:cs="Arial"/>
          <w:color w:val="000000"/>
          <w:szCs w:val="24"/>
        </w:rPr>
      </w:pPr>
    </w:p>
    <w:p w14:paraId="21FC31CF" w14:textId="48B324D0" w:rsidR="00857C5B" w:rsidRPr="00857C5B" w:rsidRDefault="00857C5B" w:rsidP="00857C5B">
      <w:pPr>
        <w:autoSpaceDE w:val="0"/>
        <w:autoSpaceDN w:val="0"/>
        <w:adjustRightInd w:val="0"/>
        <w:spacing w:line="276" w:lineRule="auto"/>
        <w:contextualSpacing/>
        <w:jc w:val="both"/>
        <w:rPr>
          <w:rFonts w:eastAsia="Calibri" w:cs="Arial"/>
          <w:b/>
          <w:bCs/>
          <w:color w:val="000000"/>
          <w:szCs w:val="24"/>
          <w:lang w:eastAsia="en-GB"/>
        </w:rPr>
      </w:pPr>
      <w:r w:rsidRPr="00857C5B">
        <w:rPr>
          <w:rFonts w:eastAsia="Calibri" w:cs="Arial"/>
          <w:b/>
          <w:bCs/>
          <w:color w:val="000000"/>
          <w:szCs w:val="24"/>
          <w:lang w:eastAsia="en-GB"/>
        </w:rPr>
        <w:t>Phase</w:t>
      </w:r>
      <w:r w:rsidR="0001160E">
        <w:rPr>
          <w:rFonts w:eastAsia="Calibri" w:cs="Arial"/>
          <w:b/>
          <w:bCs/>
          <w:color w:val="000000"/>
          <w:szCs w:val="24"/>
          <w:lang w:eastAsia="en-GB"/>
        </w:rPr>
        <w:t xml:space="preserve"> 1</w:t>
      </w:r>
      <w:r w:rsidRPr="00857C5B">
        <w:rPr>
          <w:rFonts w:eastAsia="Calibri" w:cs="Arial"/>
          <w:b/>
          <w:bCs/>
          <w:color w:val="000000"/>
          <w:szCs w:val="24"/>
          <w:lang w:eastAsia="en-GB"/>
        </w:rPr>
        <w:t>: Immediate business support</w:t>
      </w:r>
    </w:p>
    <w:p w14:paraId="630F8D8A" w14:textId="3A5E7651" w:rsidR="00857C5B" w:rsidRPr="00857C5B" w:rsidRDefault="00857C5B" w:rsidP="00857C5B">
      <w:pPr>
        <w:numPr>
          <w:ilvl w:val="0"/>
          <w:numId w:val="10"/>
        </w:numPr>
        <w:autoSpaceDE w:val="0"/>
        <w:autoSpaceDN w:val="0"/>
        <w:adjustRightInd w:val="0"/>
        <w:spacing w:after="200" w:line="276" w:lineRule="auto"/>
        <w:contextualSpacing/>
        <w:jc w:val="both"/>
        <w:rPr>
          <w:rFonts w:eastAsia="Calibri" w:cs="Arial"/>
          <w:color w:val="000000"/>
          <w:szCs w:val="24"/>
          <w:lang w:eastAsia="en-GB"/>
        </w:rPr>
      </w:pPr>
      <w:r w:rsidRPr="00857C5B">
        <w:rPr>
          <w:rFonts w:eastAsia="Calibri" w:cs="Arial"/>
          <w:color w:val="000000"/>
          <w:szCs w:val="24"/>
          <w:lang w:eastAsia="en-GB"/>
        </w:rPr>
        <w:t>Understand the impact</w:t>
      </w:r>
      <w:r w:rsidR="0001160E">
        <w:rPr>
          <w:rFonts w:eastAsia="Calibri" w:cs="Arial"/>
          <w:color w:val="000000"/>
          <w:szCs w:val="24"/>
          <w:lang w:eastAsia="en-GB"/>
        </w:rPr>
        <w:t xml:space="preserve"> and </w:t>
      </w:r>
      <w:r w:rsidRPr="00857C5B">
        <w:rPr>
          <w:rFonts w:eastAsia="Calibri" w:cs="Arial"/>
          <w:color w:val="000000"/>
          <w:szCs w:val="24"/>
          <w:lang w:eastAsia="en-GB"/>
        </w:rPr>
        <w:t>prepare to ramp up</w:t>
      </w:r>
      <w:r w:rsidR="0001160E">
        <w:rPr>
          <w:rFonts w:eastAsia="Calibri" w:cs="Arial"/>
          <w:color w:val="000000"/>
          <w:szCs w:val="24"/>
          <w:lang w:eastAsia="en-GB"/>
        </w:rPr>
        <w:t xml:space="preserve"> support</w:t>
      </w:r>
    </w:p>
    <w:p w14:paraId="66B5E1F0" w14:textId="3547D78A" w:rsidR="00857C5B" w:rsidRPr="00857C5B" w:rsidRDefault="00857C5B" w:rsidP="00857C5B">
      <w:pPr>
        <w:numPr>
          <w:ilvl w:val="0"/>
          <w:numId w:val="10"/>
        </w:numPr>
        <w:autoSpaceDE w:val="0"/>
        <w:autoSpaceDN w:val="0"/>
        <w:adjustRightInd w:val="0"/>
        <w:spacing w:after="200" w:line="276" w:lineRule="auto"/>
        <w:contextualSpacing/>
        <w:jc w:val="both"/>
        <w:rPr>
          <w:rFonts w:eastAsia="Calibri" w:cs="Arial"/>
          <w:color w:val="000000"/>
          <w:szCs w:val="24"/>
          <w:lang w:eastAsia="en-GB"/>
        </w:rPr>
      </w:pPr>
      <w:r w:rsidRPr="00857C5B">
        <w:rPr>
          <w:rFonts w:eastAsia="Calibri" w:cs="Arial"/>
          <w:color w:val="000000"/>
          <w:szCs w:val="24"/>
          <w:lang w:eastAsia="en-GB"/>
        </w:rPr>
        <w:t xml:space="preserve">Signpost businesses </w:t>
      </w:r>
      <w:r w:rsidR="0001160E">
        <w:rPr>
          <w:rFonts w:eastAsia="Calibri" w:cs="Arial"/>
          <w:color w:val="000000"/>
          <w:szCs w:val="24"/>
          <w:lang w:eastAsia="en-GB"/>
        </w:rPr>
        <w:t xml:space="preserve">and </w:t>
      </w:r>
      <w:r w:rsidRPr="00857C5B">
        <w:rPr>
          <w:rFonts w:eastAsia="Calibri" w:cs="Arial"/>
          <w:color w:val="000000"/>
          <w:szCs w:val="24"/>
          <w:lang w:eastAsia="en-GB"/>
        </w:rPr>
        <w:t xml:space="preserve">individuals to </w:t>
      </w:r>
      <w:r w:rsidR="0001160E">
        <w:rPr>
          <w:rFonts w:eastAsia="Calibri" w:cs="Arial"/>
          <w:color w:val="000000"/>
          <w:szCs w:val="24"/>
          <w:lang w:eastAsia="en-GB"/>
        </w:rPr>
        <w:t xml:space="preserve">support, </w:t>
      </w:r>
      <w:r w:rsidRPr="00857C5B">
        <w:rPr>
          <w:rFonts w:eastAsia="Calibri" w:cs="Arial"/>
          <w:color w:val="000000"/>
          <w:szCs w:val="24"/>
          <w:lang w:eastAsia="en-GB"/>
        </w:rPr>
        <w:t>advice, grants</w:t>
      </w:r>
      <w:r w:rsidR="0001160E">
        <w:rPr>
          <w:rFonts w:eastAsia="Calibri" w:cs="Arial"/>
          <w:color w:val="000000"/>
          <w:szCs w:val="24"/>
          <w:lang w:eastAsia="en-GB"/>
        </w:rPr>
        <w:t xml:space="preserve"> and </w:t>
      </w:r>
      <w:r w:rsidRPr="00857C5B">
        <w:rPr>
          <w:rFonts w:eastAsia="Calibri" w:cs="Arial"/>
          <w:color w:val="000000"/>
          <w:szCs w:val="24"/>
          <w:lang w:eastAsia="en-GB"/>
        </w:rPr>
        <w:t>relief</w:t>
      </w:r>
    </w:p>
    <w:p w14:paraId="6AA9A939" w14:textId="69DCFB42" w:rsidR="00857C5B" w:rsidRPr="00857C5B" w:rsidRDefault="00857C5B" w:rsidP="00857C5B">
      <w:pPr>
        <w:numPr>
          <w:ilvl w:val="0"/>
          <w:numId w:val="10"/>
        </w:numPr>
        <w:autoSpaceDE w:val="0"/>
        <w:autoSpaceDN w:val="0"/>
        <w:adjustRightInd w:val="0"/>
        <w:spacing w:after="200" w:line="276" w:lineRule="auto"/>
        <w:contextualSpacing/>
        <w:jc w:val="both"/>
        <w:rPr>
          <w:rFonts w:eastAsia="Calibri" w:cs="Arial"/>
          <w:color w:val="000000"/>
          <w:szCs w:val="24"/>
          <w:lang w:eastAsia="en-GB"/>
        </w:rPr>
      </w:pPr>
      <w:r w:rsidRPr="00857C5B">
        <w:rPr>
          <w:rFonts w:eastAsia="Calibri" w:cs="Arial"/>
          <w:color w:val="000000"/>
          <w:szCs w:val="24"/>
          <w:lang w:eastAsia="en-GB"/>
        </w:rPr>
        <w:lastRenderedPageBreak/>
        <w:t>Local responses (</w:t>
      </w:r>
      <w:r w:rsidR="0001160E">
        <w:rPr>
          <w:rFonts w:eastAsia="Calibri" w:cs="Arial"/>
          <w:color w:val="000000"/>
          <w:szCs w:val="24"/>
          <w:lang w:eastAsia="en-GB"/>
        </w:rPr>
        <w:t xml:space="preserve">for example: </w:t>
      </w:r>
      <w:r w:rsidRPr="00857C5B">
        <w:rPr>
          <w:rFonts w:eastAsia="Calibri" w:cs="Arial"/>
          <w:color w:val="000000"/>
          <w:szCs w:val="24"/>
          <w:lang w:eastAsia="en-GB"/>
        </w:rPr>
        <w:t>rent holidays for commercial tenants</w:t>
      </w:r>
      <w:r w:rsidR="0001160E">
        <w:rPr>
          <w:rFonts w:eastAsia="Calibri" w:cs="Arial"/>
          <w:color w:val="000000"/>
          <w:szCs w:val="24"/>
          <w:lang w:eastAsia="en-GB"/>
        </w:rPr>
        <w:t xml:space="preserve"> and waiving </w:t>
      </w:r>
      <w:r w:rsidRPr="00857C5B">
        <w:rPr>
          <w:rFonts w:eastAsia="Calibri" w:cs="Arial"/>
          <w:color w:val="000000"/>
          <w:szCs w:val="24"/>
          <w:lang w:eastAsia="en-GB"/>
        </w:rPr>
        <w:t>waste charges)</w:t>
      </w:r>
    </w:p>
    <w:p w14:paraId="09CDE546" w14:textId="77777777" w:rsidR="00857C5B" w:rsidRPr="00857C5B" w:rsidRDefault="00857C5B" w:rsidP="00857C5B">
      <w:pPr>
        <w:numPr>
          <w:ilvl w:val="0"/>
          <w:numId w:val="10"/>
        </w:numPr>
        <w:autoSpaceDE w:val="0"/>
        <w:autoSpaceDN w:val="0"/>
        <w:adjustRightInd w:val="0"/>
        <w:spacing w:after="200" w:line="276" w:lineRule="auto"/>
        <w:contextualSpacing/>
        <w:jc w:val="both"/>
        <w:rPr>
          <w:rFonts w:eastAsia="Calibri" w:cs="Arial"/>
          <w:color w:val="000000"/>
          <w:szCs w:val="24"/>
          <w:lang w:eastAsia="en-GB"/>
        </w:rPr>
      </w:pPr>
      <w:r w:rsidRPr="00857C5B">
        <w:rPr>
          <w:rFonts w:eastAsia="Calibri" w:cs="Arial"/>
          <w:color w:val="000000"/>
          <w:szCs w:val="24"/>
          <w:lang w:eastAsia="en-GB"/>
        </w:rPr>
        <w:t>Agree consistent WLA approach to Discretionary Grant</w:t>
      </w:r>
    </w:p>
    <w:p w14:paraId="3AE161AE" w14:textId="77777777" w:rsidR="00857C5B" w:rsidRPr="00857C5B" w:rsidRDefault="00857C5B" w:rsidP="00857C5B">
      <w:pPr>
        <w:numPr>
          <w:ilvl w:val="0"/>
          <w:numId w:val="10"/>
        </w:numPr>
        <w:autoSpaceDE w:val="0"/>
        <w:autoSpaceDN w:val="0"/>
        <w:adjustRightInd w:val="0"/>
        <w:spacing w:after="200" w:line="276" w:lineRule="auto"/>
        <w:contextualSpacing/>
        <w:jc w:val="both"/>
        <w:rPr>
          <w:rFonts w:eastAsia="Calibri" w:cs="Arial"/>
          <w:color w:val="000000"/>
          <w:szCs w:val="24"/>
          <w:lang w:eastAsia="en-GB"/>
        </w:rPr>
      </w:pPr>
      <w:r w:rsidRPr="00857C5B">
        <w:rPr>
          <w:rFonts w:eastAsia="Calibri" w:cs="Arial"/>
          <w:color w:val="000000"/>
          <w:szCs w:val="24"/>
          <w:lang w:eastAsia="en-GB"/>
        </w:rPr>
        <w:t>Engage with large employers to understand and influence post lockdown plans</w:t>
      </w:r>
    </w:p>
    <w:p w14:paraId="736D3357" w14:textId="5D9FFA73" w:rsidR="00857C5B" w:rsidRDefault="00857C5B" w:rsidP="00857C5B">
      <w:pPr>
        <w:autoSpaceDE w:val="0"/>
        <w:autoSpaceDN w:val="0"/>
        <w:adjustRightInd w:val="0"/>
        <w:spacing w:line="276" w:lineRule="auto"/>
        <w:contextualSpacing/>
        <w:jc w:val="both"/>
        <w:rPr>
          <w:rFonts w:eastAsia="Calibri" w:cs="Arial"/>
          <w:color w:val="000000"/>
          <w:szCs w:val="24"/>
          <w:lang w:eastAsia="en-GB"/>
        </w:rPr>
      </w:pPr>
    </w:p>
    <w:p w14:paraId="3F57765C" w14:textId="5CF324F5" w:rsidR="00857C5B" w:rsidRPr="00857C5B" w:rsidRDefault="0001160E" w:rsidP="00857C5B">
      <w:pPr>
        <w:autoSpaceDE w:val="0"/>
        <w:autoSpaceDN w:val="0"/>
        <w:adjustRightInd w:val="0"/>
        <w:spacing w:line="276" w:lineRule="auto"/>
        <w:contextualSpacing/>
        <w:jc w:val="both"/>
        <w:rPr>
          <w:rFonts w:eastAsia="Calibri" w:cs="Arial"/>
          <w:color w:val="000000"/>
          <w:szCs w:val="24"/>
          <w:lang w:eastAsia="en-GB"/>
        </w:rPr>
      </w:pPr>
      <w:r>
        <w:rPr>
          <w:rFonts w:eastAsia="Calibri" w:cs="Arial"/>
          <w:b/>
          <w:bCs/>
          <w:color w:val="000000"/>
          <w:szCs w:val="24"/>
          <w:lang w:eastAsia="en-GB"/>
        </w:rPr>
        <w:t>P</w:t>
      </w:r>
      <w:r w:rsidR="00857C5B" w:rsidRPr="00857C5B">
        <w:rPr>
          <w:rFonts w:eastAsia="Calibri" w:cs="Arial"/>
          <w:b/>
          <w:bCs/>
          <w:color w:val="000000"/>
          <w:szCs w:val="24"/>
          <w:lang w:eastAsia="en-GB"/>
        </w:rPr>
        <w:t>hase</w:t>
      </w:r>
      <w:r>
        <w:rPr>
          <w:rFonts w:eastAsia="Calibri" w:cs="Arial"/>
          <w:b/>
          <w:bCs/>
          <w:color w:val="000000"/>
          <w:szCs w:val="24"/>
          <w:lang w:eastAsia="en-GB"/>
        </w:rPr>
        <w:t xml:space="preserve"> 2</w:t>
      </w:r>
      <w:r w:rsidR="00857C5B" w:rsidRPr="00857C5B">
        <w:rPr>
          <w:rFonts w:eastAsia="Calibri" w:cs="Arial"/>
          <w:b/>
          <w:bCs/>
          <w:color w:val="000000"/>
          <w:szCs w:val="24"/>
          <w:lang w:eastAsia="en-GB"/>
        </w:rPr>
        <w:t xml:space="preserve">: 3-6 months responses </w:t>
      </w:r>
    </w:p>
    <w:p w14:paraId="196474AD" w14:textId="68AD26AC" w:rsidR="00857C5B" w:rsidRPr="0001160E" w:rsidRDefault="0001160E" w:rsidP="0001160E">
      <w:pPr>
        <w:pStyle w:val="ListParagraph"/>
        <w:numPr>
          <w:ilvl w:val="0"/>
          <w:numId w:val="15"/>
        </w:numPr>
        <w:autoSpaceDE w:val="0"/>
        <w:autoSpaceDN w:val="0"/>
        <w:adjustRightInd w:val="0"/>
        <w:spacing w:after="200" w:line="276" w:lineRule="auto"/>
        <w:contextualSpacing/>
        <w:jc w:val="both"/>
        <w:rPr>
          <w:rFonts w:eastAsia="Calibri" w:cs="Arial"/>
          <w:color w:val="000000"/>
          <w:szCs w:val="24"/>
          <w:lang w:eastAsia="en-GB"/>
        </w:rPr>
      </w:pPr>
      <w:r>
        <w:rPr>
          <w:rFonts w:eastAsia="Calibri" w:cs="Arial"/>
          <w:color w:val="000000"/>
          <w:szCs w:val="24"/>
          <w:lang w:eastAsia="en-GB"/>
        </w:rPr>
        <w:t>The main objective is to s</w:t>
      </w:r>
      <w:r w:rsidR="00857C5B" w:rsidRPr="0001160E">
        <w:rPr>
          <w:rFonts w:eastAsia="Calibri" w:cs="Arial"/>
          <w:color w:val="000000"/>
          <w:szCs w:val="24"/>
          <w:lang w:eastAsia="en-GB"/>
        </w:rPr>
        <w:t xml:space="preserve">upport West London </w:t>
      </w:r>
      <w:r>
        <w:rPr>
          <w:rFonts w:eastAsia="Calibri" w:cs="Arial"/>
          <w:color w:val="000000"/>
          <w:szCs w:val="24"/>
          <w:lang w:eastAsia="en-GB"/>
        </w:rPr>
        <w:t>E</w:t>
      </w:r>
      <w:r w:rsidR="00857C5B" w:rsidRPr="0001160E">
        <w:rPr>
          <w:rFonts w:eastAsia="Calibri" w:cs="Arial"/>
          <w:color w:val="000000"/>
          <w:szCs w:val="24"/>
          <w:lang w:eastAsia="en-GB"/>
        </w:rPr>
        <w:t>conomy to bounce back quickly &amp; safely from the current restrictions</w:t>
      </w:r>
    </w:p>
    <w:p w14:paraId="5AF403D9" w14:textId="5AE07FE9" w:rsidR="00857C5B" w:rsidRPr="00857C5B" w:rsidRDefault="0001160E" w:rsidP="00857C5B">
      <w:pPr>
        <w:autoSpaceDE w:val="0"/>
        <w:autoSpaceDN w:val="0"/>
        <w:adjustRightInd w:val="0"/>
        <w:spacing w:line="276" w:lineRule="auto"/>
        <w:contextualSpacing/>
        <w:jc w:val="both"/>
        <w:rPr>
          <w:rFonts w:eastAsia="Calibri" w:cs="Arial"/>
          <w:b/>
          <w:bCs/>
          <w:color w:val="000000"/>
          <w:szCs w:val="24"/>
          <w:lang w:eastAsia="en-GB"/>
        </w:rPr>
      </w:pPr>
      <w:r>
        <w:rPr>
          <w:rFonts w:eastAsia="Calibri" w:cs="Arial"/>
          <w:b/>
          <w:bCs/>
          <w:color w:val="000000"/>
          <w:szCs w:val="24"/>
          <w:lang w:eastAsia="en-GB"/>
        </w:rPr>
        <w:t>P</w:t>
      </w:r>
      <w:r w:rsidR="00857C5B" w:rsidRPr="00857C5B">
        <w:rPr>
          <w:rFonts w:eastAsia="Calibri" w:cs="Arial"/>
          <w:b/>
          <w:bCs/>
          <w:color w:val="000000"/>
          <w:szCs w:val="24"/>
          <w:lang w:eastAsia="en-GB"/>
        </w:rPr>
        <w:t>hase</w:t>
      </w:r>
      <w:r>
        <w:rPr>
          <w:rFonts w:eastAsia="Calibri" w:cs="Arial"/>
          <w:b/>
          <w:bCs/>
          <w:color w:val="000000"/>
          <w:szCs w:val="24"/>
          <w:lang w:eastAsia="en-GB"/>
        </w:rPr>
        <w:t xml:space="preserve"> 3</w:t>
      </w:r>
      <w:r w:rsidR="00857C5B" w:rsidRPr="00857C5B">
        <w:rPr>
          <w:rFonts w:eastAsia="Calibri" w:cs="Arial"/>
          <w:b/>
          <w:bCs/>
          <w:color w:val="000000"/>
          <w:szCs w:val="24"/>
          <w:lang w:eastAsia="en-GB"/>
        </w:rPr>
        <w:t>: Next 6 months</w:t>
      </w:r>
    </w:p>
    <w:p w14:paraId="5E4477D8" w14:textId="02352225" w:rsidR="00857C5B" w:rsidRPr="00857C5B" w:rsidRDefault="00CA229A" w:rsidP="00857C5B">
      <w:pPr>
        <w:numPr>
          <w:ilvl w:val="0"/>
          <w:numId w:val="9"/>
        </w:numPr>
        <w:autoSpaceDE w:val="0"/>
        <w:autoSpaceDN w:val="0"/>
        <w:adjustRightInd w:val="0"/>
        <w:spacing w:after="200" w:line="276" w:lineRule="auto"/>
        <w:contextualSpacing/>
        <w:jc w:val="both"/>
        <w:rPr>
          <w:rFonts w:eastAsia="Calibri" w:cs="Arial"/>
          <w:color w:val="000000"/>
          <w:szCs w:val="24"/>
          <w:lang w:eastAsia="en-GB"/>
        </w:rPr>
      </w:pPr>
      <w:r>
        <w:rPr>
          <w:rFonts w:eastAsia="Calibri" w:cs="Arial"/>
          <w:color w:val="000000"/>
          <w:szCs w:val="24"/>
          <w:lang w:eastAsia="en-GB"/>
        </w:rPr>
        <w:t xml:space="preserve">Continued </w:t>
      </w:r>
      <w:r w:rsidR="00857C5B" w:rsidRPr="00857C5B">
        <w:rPr>
          <w:rFonts w:eastAsia="Calibri" w:cs="Arial"/>
          <w:color w:val="000000"/>
          <w:szCs w:val="24"/>
          <w:lang w:eastAsia="en-GB"/>
        </w:rPr>
        <w:t xml:space="preserve">support </w:t>
      </w:r>
      <w:r>
        <w:rPr>
          <w:rFonts w:eastAsia="Calibri" w:cs="Arial"/>
          <w:color w:val="000000"/>
          <w:szCs w:val="24"/>
          <w:lang w:eastAsia="en-GB"/>
        </w:rPr>
        <w:t xml:space="preserve">to </w:t>
      </w:r>
      <w:r w:rsidR="00857C5B" w:rsidRPr="00857C5B">
        <w:rPr>
          <w:rFonts w:eastAsia="Calibri" w:cs="Arial"/>
          <w:color w:val="000000"/>
          <w:szCs w:val="24"/>
          <w:lang w:eastAsia="en-GB"/>
        </w:rPr>
        <w:t>businesses at risk</w:t>
      </w:r>
    </w:p>
    <w:p w14:paraId="03B67569" w14:textId="2EF8E81A" w:rsidR="00857C5B" w:rsidRPr="00857C5B" w:rsidRDefault="00CA229A" w:rsidP="00857C5B">
      <w:pPr>
        <w:numPr>
          <w:ilvl w:val="0"/>
          <w:numId w:val="9"/>
        </w:numPr>
        <w:autoSpaceDE w:val="0"/>
        <w:autoSpaceDN w:val="0"/>
        <w:adjustRightInd w:val="0"/>
        <w:spacing w:after="200" w:line="276" w:lineRule="auto"/>
        <w:contextualSpacing/>
        <w:jc w:val="both"/>
        <w:rPr>
          <w:rFonts w:eastAsia="Calibri" w:cs="Arial"/>
          <w:color w:val="000000"/>
          <w:szCs w:val="24"/>
          <w:lang w:eastAsia="en-GB"/>
        </w:rPr>
      </w:pPr>
      <w:r>
        <w:rPr>
          <w:rFonts w:eastAsia="Calibri" w:cs="Arial"/>
          <w:color w:val="000000"/>
          <w:szCs w:val="24"/>
          <w:lang w:eastAsia="en-GB"/>
        </w:rPr>
        <w:t xml:space="preserve">The main objective is to support </w:t>
      </w:r>
      <w:r w:rsidR="00857C5B" w:rsidRPr="00857C5B">
        <w:rPr>
          <w:rFonts w:eastAsia="Calibri" w:cs="Arial"/>
          <w:color w:val="000000"/>
          <w:szCs w:val="24"/>
          <w:lang w:eastAsia="en-GB"/>
        </w:rPr>
        <w:t xml:space="preserve">West London’s enterprises </w:t>
      </w:r>
      <w:r>
        <w:rPr>
          <w:rFonts w:eastAsia="Calibri" w:cs="Arial"/>
          <w:color w:val="000000"/>
          <w:szCs w:val="24"/>
          <w:lang w:eastAsia="en-GB"/>
        </w:rPr>
        <w:t xml:space="preserve">and </w:t>
      </w:r>
      <w:r w:rsidR="00857C5B" w:rsidRPr="00857C5B">
        <w:rPr>
          <w:rFonts w:eastAsia="Calibri" w:cs="Arial"/>
          <w:color w:val="000000"/>
          <w:szCs w:val="24"/>
          <w:lang w:eastAsia="en-GB"/>
        </w:rPr>
        <w:t xml:space="preserve">workers through recovery </w:t>
      </w:r>
      <w:r>
        <w:rPr>
          <w:rFonts w:eastAsia="Calibri" w:cs="Arial"/>
          <w:color w:val="000000"/>
          <w:szCs w:val="24"/>
          <w:lang w:eastAsia="en-GB"/>
        </w:rPr>
        <w:t xml:space="preserve">and </w:t>
      </w:r>
      <w:r w:rsidR="00857C5B" w:rsidRPr="00857C5B">
        <w:rPr>
          <w:rFonts w:eastAsia="Calibri" w:cs="Arial"/>
          <w:color w:val="000000"/>
          <w:szCs w:val="24"/>
          <w:lang w:eastAsia="en-GB"/>
        </w:rPr>
        <w:t>reform</w:t>
      </w:r>
    </w:p>
    <w:p w14:paraId="09C2EBC1" w14:textId="77777777" w:rsidR="00857C5B" w:rsidRPr="00857C5B" w:rsidRDefault="00857C5B" w:rsidP="00857C5B">
      <w:pPr>
        <w:autoSpaceDE w:val="0"/>
        <w:autoSpaceDN w:val="0"/>
        <w:adjustRightInd w:val="0"/>
        <w:spacing w:line="276" w:lineRule="auto"/>
        <w:contextualSpacing/>
        <w:jc w:val="both"/>
        <w:rPr>
          <w:rFonts w:eastAsia="Calibri" w:cs="Arial"/>
          <w:b/>
          <w:bCs/>
          <w:color w:val="000000"/>
          <w:szCs w:val="24"/>
          <w:lang w:eastAsia="en-GB"/>
        </w:rPr>
      </w:pPr>
    </w:p>
    <w:p w14:paraId="15DAFDD8" w14:textId="14FBFDEB" w:rsidR="00857C5B" w:rsidRPr="00857C5B" w:rsidRDefault="00CA229A" w:rsidP="00857C5B">
      <w:pPr>
        <w:autoSpaceDE w:val="0"/>
        <w:autoSpaceDN w:val="0"/>
        <w:adjustRightInd w:val="0"/>
        <w:spacing w:line="276" w:lineRule="auto"/>
        <w:contextualSpacing/>
        <w:jc w:val="both"/>
        <w:rPr>
          <w:rFonts w:eastAsia="Calibri" w:cs="Arial"/>
          <w:b/>
          <w:bCs/>
          <w:color w:val="000000"/>
          <w:szCs w:val="24"/>
          <w:lang w:eastAsia="en-GB"/>
        </w:rPr>
      </w:pPr>
      <w:r>
        <w:rPr>
          <w:rFonts w:eastAsia="Calibri" w:cs="Arial"/>
          <w:b/>
          <w:bCs/>
          <w:color w:val="000000"/>
          <w:szCs w:val="24"/>
          <w:lang w:eastAsia="en-GB"/>
        </w:rPr>
        <w:t>P</w:t>
      </w:r>
      <w:r w:rsidR="00857C5B" w:rsidRPr="00857C5B">
        <w:rPr>
          <w:rFonts w:eastAsia="Calibri" w:cs="Arial"/>
          <w:b/>
          <w:bCs/>
          <w:color w:val="000000"/>
          <w:szCs w:val="24"/>
          <w:lang w:eastAsia="en-GB"/>
        </w:rPr>
        <w:t>hase</w:t>
      </w:r>
      <w:r>
        <w:rPr>
          <w:rFonts w:eastAsia="Calibri" w:cs="Arial"/>
          <w:b/>
          <w:bCs/>
          <w:color w:val="000000"/>
          <w:szCs w:val="24"/>
          <w:lang w:eastAsia="en-GB"/>
        </w:rPr>
        <w:t xml:space="preserve"> 4</w:t>
      </w:r>
      <w:r w:rsidR="00857C5B" w:rsidRPr="00857C5B">
        <w:rPr>
          <w:rFonts w:eastAsia="Calibri" w:cs="Arial"/>
          <w:b/>
          <w:bCs/>
          <w:color w:val="000000"/>
          <w:szCs w:val="24"/>
          <w:lang w:eastAsia="en-GB"/>
        </w:rPr>
        <w:t>: 12</w:t>
      </w:r>
      <w:r>
        <w:rPr>
          <w:rFonts w:eastAsia="Calibri" w:cs="Arial"/>
          <w:b/>
          <w:bCs/>
          <w:color w:val="000000"/>
          <w:szCs w:val="24"/>
          <w:lang w:eastAsia="en-GB"/>
        </w:rPr>
        <w:t xml:space="preserve"> months plus</w:t>
      </w:r>
      <w:r w:rsidR="00857C5B" w:rsidRPr="00857C5B">
        <w:rPr>
          <w:rFonts w:eastAsia="Calibri" w:cs="Arial"/>
          <w:b/>
          <w:bCs/>
          <w:color w:val="000000"/>
          <w:szCs w:val="24"/>
          <w:lang w:eastAsia="en-GB"/>
        </w:rPr>
        <w:t xml:space="preserve"> </w:t>
      </w:r>
    </w:p>
    <w:p w14:paraId="0D48F9D3" w14:textId="715BCBF6" w:rsidR="00857C5B" w:rsidRPr="00857C5B" w:rsidRDefault="00CA229A" w:rsidP="00857C5B">
      <w:pPr>
        <w:numPr>
          <w:ilvl w:val="0"/>
          <w:numId w:val="11"/>
        </w:numPr>
        <w:autoSpaceDE w:val="0"/>
        <w:autoSpaceDN w:val="0"/>
        <w:adjustRightInd w:val="0"/>
        <w:spacing w:after="200" w:line="276" w:lineRule="auto"/>
        <w:contextualSpacing/>
        <w:jc w:val="both"/>
        <w:rPr>
          <w:rFonts w:eastAsia="Calibri" w:cs="Arial"/>
          <w:color w:val="000000"/>
          <w:szCs w:val="24"/>
          <w:lang w:eastAsia="en-GB"/>
        </w:rPr>
      </w:pPr>
      <w:r>
        <w:rPr>
          <w:rFonts w:eastAsia="Calibri" w:cs="Arial"/>
          <w:color w:val="000000"/>
          <w:szCs w:val="24"/>
          <w:lang w:eastAsia="en-GB"/>
        </w:rPr>
        <w:t xml:space="preserve">To provide continued support to reduce the impact of </w:t>
      </w:r>
      <w:r w:rsidR="00857C5B" w:rsidRPr="00857C5B">
        <w:rPr>
          <w:rFonts w:eastAsia="Calibri" w:cs="Arial"/>
          <w:color w:val="000000"/>
          <w:szCs w:val="24"/>
          <w:lang w:eastAsia="en-GB"/>
        </w:rPr>
        <w:t>unemployment, business failure, acceleration of trends (</w:t>
      </w:r>
      <w:r>
        <w:rPr>
          <w:rFonts w:eastAsia="Calibri" w:cs="Arial"/>
          <w:color w:val="000000"/>
          <w:szCs w:val="24"/>
          <w:lang w:eastAsia="en-GB"/>
        </w:rPr>
        <w:t xml:space="preserve">for example: </w:t>
      </w:r>
      <w:r w:rsidR="00857C5B" w:rsidRPr="00857C5B">
        <w:rPr>
          <w:rFonts w:eastAsia="Calibri" w:cs="Arial"/>
          <w:color w:val="000000"/>
          <w:szCs w:val="24"/>
          <w:lang w:eastAsia="en-GB"/>
        </w:rPr>
        <w:t xml:space="preserve">high street decline, remote working, transition to low carbon)  </w:t>
      </w:r>
    </w:p>
    <w:p w14:paraId="43A4C987" w14:textId="079ACAEA" w:rsidR="00857C5B" w:rsidRPr="00857C5B" w:rsidRDefault="00CA229A" w:rsidP="00857C5B">
      <w:pPr>
        <w:numPr>
          <w:ilvl w:val="0"/>
          <w:numId w:val="11"/>
        </w:numPr>
        <w:autoSpaceDE w:val="0"/>
        <w:autoSpaceDN w:val="0"/>
        <w:adjustRightInd w:val="0"/>
        <w:spacing w:after="200" w:line="276" w:lineRule="auto"/>
        <w:contextualSpacing/>
        <w:jc w:val="both"/>
        <w:rPr>
          <w:rFonts w:eastAsia="Calibri" w:cs="Arial"/>
          <w:color w:val="000000"/>
          <w:szCs w:val="24"/>
          <w:lang w:eastAsia="en-GB"/>
        </w:rPr>
      </w:pPr>
      <w:r>
        <w:rPr>
          <w:rFonts w:eastAsia="Calibri" w:cs="Arial"/>
          <w:color w:val="000000"/>
          <w:szCs w:val="24"/>
          <w:lang w:eastAsia="en-GB"/>
        </w:rPr>
        <w:t xml:space="preserve">The main objective is to provide a more </w:t>
      </w:r>
      <w:r w:rsidR="00857C5B" w:rsidRPr="00857C5B">
        <w:rPr>
          <w:rFonts w:eastAsia="Calibri" w:cs="Arial"/>
          <w:color w:val="000000"/>
          <w:szCs w:val="24"/>
          <w:lang w:eastAsia="en-GB"/>
        </w:rPr>
        <w:t xml:space="preserve">inclusive </w:t>
      </w:r>
      <w:r>
        <w:rPr>
          <w:rFonts w:eastAsia="Calibri" w:cs="Arial"/>
          <w:color w:val="000000"/>
          <w:szCs w:val="24"/>
          <w:lang w:eastAsia="en-GB"/>
        </w:rPr>
        <w:t xml:space="preserve">and </w:t>
      </w:r>
      <w:r w:rsidR="00857C5B" w:rsidRPr="00857C5B">
        <w:rPr>
          <w:rFonts w:eastAsia="Calibri" w:cs="Arial"/>
          <w:color w:val="000000"/>
          <w:szCs w:val="24"/>
          <w:lang w:eastAsia="en-GB"/>
        </w:rPr>
        <w:t>sustainable economy</w:t>
      </w:r>
      <w:r>
        <w:rPr>
          <w:rFonts w:eastAsia="Calibri" w:cs="Arial"/>
          <w:color w:val="000000"/>
          <w:szCs w:val="24"/>
          <w:lang w:eastAsia="en-GB"/>
        </w:rPr>
        <w:t xml:space="preserve"> through ongoing support to promote recovery.</w:t>
      </w:r>
    </w:p>
    <w:p w14:paraId="23D40A86" w14:textId="77777777" w:rsidR="00857C5B" w:rsidRPr="00857C5B" w:rsidRDefault="00857C5B" w:rsidP="00857C5B">
      <w:pPr>
        <w:spacing w:line="276" w:lineRule="auto"/>
        <w:contextualSpacing/>
        <w:jc w:val="both"/>
        <w:rPr>
          <w:rFonts w:eastAsia="Calibri" w:cs="Arial"/>
          <w:b/>
          <w:color w:val="000000"/>
          <w:szCs w:val="24"/>
        </w:rPr>
      </w:pPr>
    </w:p>
    <w:p w14:paraId="7CF41226" w14:textId="77777777" w:rsidR="00E866A5" w:rsidRDefault="00E866A5" w:rsidP="00E866A5">
      <w:pPr>
        <w:rPr>
          <w:rFonts w:ascii="Calibri" w:hAnsi="Calibri"/>
          <w:sz w:val="22"/>
        </w:rPr>
      </w:pPr>
      <w:r>
        <w:t xml:space="preserve">The action plans for each theme, including an assessment of the economic impacts, short, medium and long term objectives, offer and ask to Government will be brought together into a single Recovery Plan to be considered by West London Chief Executives and Leaders over the next few weeks. </w:t>
      </w:r>
    </w:p>
    <w:p w14:paraId="42BCA410" w14:textId="6110B4B9" w:rsidR="00857C5B" w:rsidRDefault="000B1842" w:rsidP="00857C5B">
      <w:pPr>
        <w:rPr>
          <w:lang w:eastAsia="en-GB"/>
        </w:rPr>
      </w:pPr>
      <w:r>
        <w:rPr>
          <w:lang w:eastAsia="en-GB"/>
        </w:rPr>
        <w:t xml:space="preserve"> </w:t>
      </w:r>
    </w:p>
    <w:p w14:paraId="2425E160" w14:textId="0130C2AC" w:rsidR="000B15D3" w:rsidRDefault="000B15D3" w:rsidP="00FD61BA">
      <w:pPr>
        <w:pStyle w:val="Heading1"/>
        <w:jc w:val="both"/>
        <w:rPr>
          <w:lang w:eastAsia="en-GB"/>
        </w:rPr>
      </w:pPr>
    </w:p>
    <w:p w14:paraId="46A8E44D" w14:textId="584B3111" w:rsidR="00E866A5" w:rsidRDefault="00E866A5" w:rsidP="00E866A5">
      <w:pPr>
        <w:rPr>
          <w:lang w:eastAsia="en-GB"/>
        </w:rPr>
      </w:pPr>
    </w:p>
    <w:p w14:paraId="57A64F56" w14:textId="223E813E" w:rsidR="00E866A5" w:rsidRDefault="00E866A5" w:rsidP="00E866A5">
      <w:pPr>
        <w:rPr>
          <w:lang w:eastAsia="en-GB"/>
        </w:rPr>
      </w:pPr>
    </w:p>
    <w:p w14:paraId="52F0E9AF" w14:textId="7F41C752" w:rsidR="00E866A5" w:rsidRDefault="00E866A5" w:rsidP="00E866A5">
      <w:pPr>
        <w:rPr>
          <w:lang w:eastAsia="en-GB"/>
        </w:rPr>
      </w:pPr>
    </w:p>
    <w:p w14:paraId="19889272" w14:textId="2766EA6B" w:rsidR="00E866A5" w:rsidRDefault="00E866A5" w:rsidP="00E866A5">
      <w:pPr>
        <w:rPr>
          <w:lang w:eastAsia="en-GB"/>
        </w:rPr>
      </w:pPr>
    </w:p>
    <w:p w14:paraId="323BDDE5" w14:textId="3DBC578F" w:rsidR="00E866A5" w:rsidRDefault="00E866A5" w:rsidP="00E866A5">
      <w:pPr>
        <w:rPr>
          <w:lang w:eastAsia="en-GB"/>
        </w:rPr>
      </w:pPr>
    </w:p>
    <w:p w14:paraId="7D77D9B8" w14:textId="79E860B3" w:rsidR="00E866A5" w:rsidRDefault="00E866A5" w:rsidP="00E866A5">
      <w:pPr>
        <w:rPr>
          <w:lang w:eastAsia="en-GB"/>
        </w:rPr>
      </w:pPr>
    </w:p>
    <w:p w14:paraId="62D2B2C7" w14:textId="482170F5" w:rsidR="00E866A5" w:rsidRDefault="00E866A5" w:rsidP="00E866A5">
      <w:pPr>
        <w:rPr>
          <w:lang w:eastAsia="en-GB"/>
        </w:rPr>
      </w:pPr>
    </w:p>
    <w:p w14:paraId="45F739BA" w14:textId="386E5C6D" w:rsidR="00E866A5" w:rsidRDefault="00E866A5" w:rsidP="00E866A5">
      <w:pPr>
        <w:rPr>
          <w:lang w:eastAsia="en-GB"/>
        </w:rPr>
      </w:pPr>
    </w:p>
    <w:p w14:paraId="7CDCA2DA" w14:textId="0C544AA0" w:rsidR="00E866A5" w:rsidRDefault="00E866A5" w:rsidP="00E866A5">
      <w:pPr>
        <w:rPr>
          <w:lang w:eastAsia="en-GB"/>
        </w:rPr>
      </w:pPr>
    </w:p>
    <w:p w14:paraId="18BFA28F" w14:textId="50749CE8" w:rsidR="009B77BF" w:rsidRDefault="009B77BF" w:rsidP="00E866A5">
      <w:pPr>
        <w:rPr>
          <w:lang w:eastAsia="en-GB"/>
        </w:rPr>
      </w:pPr>
    </w:p>
    <w:p w14:paraId="24B459C8" w14:textId="35E51DE8" w:rsidR="009B77BF" w:rsidRDefault="009B77BF" w:rsidP="00E866A5">
      <w:pPr>
        <w:rPr>
          <w:lang w:eastAsia="en-GB"/>
        </w:rPr>
      </w:pPr>
    </w:p>
    <w:p w14:paraId="31B9155D" w14:textId="24756096" w:rsidR="009B77BF" w:rsidRDefault="009B77BF" w:rsidP="00E866A5">
      <w:pPr>
        <w:rPr>
          <w:lang w:eastAsia="en-GB"/>
        </w:rPr>
      </w:pPr>
    </w:p>
    <w:p w14:paraId="46071F20" w14:textId="1A41F727" w:rsidR="009B77BF" w:rsidRDefault="009B77BF" w:rsidP="00E866A5">
      <w:pPr>
        <w:rPr>
          <w:lang w:eastAsia="en-GB"/>
        </w:rPr>
      </w:pPr>
    </w:p>
    <w:p w14:paraId="6FB3558D" w14:textId="4DE5FFE0" w:rsidR="009B77BF" w:rsidRDefault="009B77BF" w:rsidP="00E866A5">
      <w:pPr>
        <w:rPr>
          <w:lang w:eastAsia="en-GB"/>
        </w:rPr>
      </w:pPr>
    </w:p>
    <w:p w14:paraId="0B9625BF" w14:textId="1A32BD0C" w:rsidR="009B77BF" w:rsidRDefault="009B77BF" w:rsidP="00E866A5">
      <w:pPr>
        <w:rPr>
          <w:lang w:eastAsia="en-GB"/>
        </w:rPr>
      </w:pPr>
    </w:p>
    <w:p w14:paraId="278B32BA" w14:textId="77777777" w:rsidR="009B77BF" w:rsidRDefault="009B77BF" w:rsidP="00E866A5">
      <w:pPr>
        <w:rPr>
          <w:lang w:eastAsia="en-GB"/>
        </w:rPr>
      </w:pPr>
    </w:p>
    <w:p w14:paraId="0B973B11" w14:textId="43C1A8BB" w:rsidR="00E866A5" w:rsidRDefault="00E866A5" w:rsidP="00E866A5">
      <w:pPr>
        <w:rPr>
          <w:lang w:eastAsia="en-GB"/>
        </w:rPr>
      </w:pPr>
    </w:p>
    <w:p w14:paraId="7772F88E" w14:textId="10B64BA3" w:rsidR="00E866A5" w:rsidRDefault="00E866A5" w:rsidP="00E866A5">
      <w:pPr>
        <w:rPr>
          <w:lang w:eastAsia="en-GB"/>
        </w:rPr>
      </w:pPr>
    </w:p>
    <w:p w14:paraId="3C805CFE" w14:textId="237C5FA1" w:rsidR="00E866A5" w:rsidRDefault="00E866A5" w:rsidP="00E866A5">
      <w:pPr>
        <w:rPr>
          <w:lang w:eastAsia="en-GB"/>
        </w:rPr>
      </w:pPr>
    </w:p>
    <w:p w14:paraId="756D77C8" w14:textId="03991AC3" w:rsidR="00E866A5" w:rsidRDefault="00E866A5" w:rsidP="00E866A5">
      <w:pPr>
        <w:rPr>
          <w:lang w:eastAsia="en-GB"/>
        </w:rPr>
      </w:pPr>
    </w:p>
    <w:p w14:paraId="664E8381" w14:textId="77777777" w:rsidR="002D14F9" w:rsidRPr="00D6766D" w:rsidRDefault="002D14F9" w:rsidP="00FD61BA">
      <w:pPr>
        <w:pStyle w:val="Heading1"/>
        <w:jc w:val="both"/>
        <w:rPr>
          <w:lang w:eastAsia="en-GB"/>
        </w:rPr>
      </w:pPr>
      <w:r w:rsidRPr="00D6766D">
        <w:rPr>
          <w:lang w:eastAsia="en-GB"/>
        </w:rPr>
        <w:lastRenderedPageBreak/>
        <w:t xml:space="preserve">Section </w:t>
      </w:r>
      <w:r w:rsidR="00CD521B">
        <w:rPr>
          <w:lang w:eastAsia="en-GB"/>
        </w:rPr>
        <w:t>4</w:t>
      </w:r>
      <w:r w:rsidRPr="00D6766D">
        <w:rPr>
          <w:lang w:eastAsia="en-GB"/>
        </w:rPr>
        <w:t xml:space="preserve"> – Achievements to date</w:t>
      </w:r>
    </w:p>
    <w:p w14:paraId="6D17C699" w14:textId="77777777" w:rsidR="002D14F9" w:rsidRPr="00A62728" w:rsidRDefault="002D14F9" w:rsidP="00FD61BA">
      <w:pPr>
        <w:jc w:val="both"/>
        <w:rPr>
          <w:b/>
          <w:u w:val="single"/>
          <w:lang w:eastAsia="en-GB"/>
        </w:rPr>
      </w:pPr>
    </w:p>
    <w:p w14:paraId="442ADA83" w14:textId="77777777" w:rsidR="002D14F9" w:rsidRPr="00A62728" w:rsidRDefault="00CD521B" w:rsidP="00FD61BA">
      <w:pPr>
        <w:jc w:val="both"/>
        <w:rPr>
          <w:lang w:eastAsia="en-GB"/>
        </w:rPr>
      </w:pPr>
      <w:r>
        <w:rPr>
          <w:b/>
          <w:lang w:eastAsia="en-GB"/>
        </w:rPr>
        <w:t xml:space="preserve">4.1 </w:t>
      </w:r>
      <w:r w:rsidR="002D14F9" w:rsidRPr="00A62728">
        <w:rPr>
          <w:lang w:eastAsia="en-GB"/>
        </w:rPr>
        <w:t xml:space="preserve">The </w:t>
      </w:r>
      <w:r w:rsidR="00E72D57">
        <w:rPr>
          <w:lang w:eastAsia="en-GB"/>
        </w:rPr>
        <w:t>c</w:t>
      </w:r>
      <w:r w:rsidR="00E72D57" w:rsidRPr="00A62728">
        <w:rPr>
          <w:lang w:eastAsia="en-GB"/>
        </w:rPr>
        <w:t xml:space="preserve">ouncil </w:t>
      </w:r>
      <w:r w:rsidR="002D14F9" w:rsidRPr="00A62728">
        <w:rPr>
          <w:lang w:eastAsia="en-GB"/>
        </w:rPr>
        <w:t xml:space="preserve">has </w:t>
      </w:r>
      <w:r w:rsidR="00CA1E80">
        <w:rPr>
          <w:lang w:eastAsia="en-GB"/>
        </w:rPr>
        <w:t xml:space="preserve">continued to build on </w:t>
      </w:r>
      <w:r w:rsidR="002D14F9" w:rsidRPr="00A62728">
        <w:rPr>
          <w:lang w:eastAsia="en-GB"/>
        </w:rPr>
        <w:t xml:space="preserve">its early successes by accelerating the pace of housing delivery; exploiting the </w:t>
      </w:r>
      <w:r w:rsidR="00E72D57">
        <w:rPr>
          <w:lang w:eastAsia="en-GB"/>
        </w:rPr>
        <w:t>c</w:t>
      </w:r>
      <w:r w:rsidR="00E72D57" w:rsidRPr="00A62728">
        <w:rPr>
          <w:lang w:eastAsia="en-GB"/>
        </w:rPr>
        <w:t xml:space="preserve">ouncil’s </w:t>
      </w:r>
      <w:r w:rsidR="002D14F9" w:rsidRPr="00A62728">
        <w:rPr>
          <w:lang w:eastAsia="en-GB"/>
        </w:rPr>
        <w:t xml:space="preserve">property assets; working with </w:t>
      </w:r>
      <w:r w:rsidR="00CA1E80">
        <w:rPr>
          <w:lang w:eastAsia="en-GB"/>
        </w:rPr>
        <w:t>external developers t</w:t>
      </w:r>
      <w:r w:rsidR="002D14F9" w:rsidRPr="00A62728">
        <w:rPr>
          <w:lang w:eastAsia="en-GB"/>
        </w:rPr>
        <w:t>o improve Harrow’s infrastructure</w:t>
      </w:r>
      <w:r w:rsidR="00CA1E80">
        <w:rPr>
          <w:lang w:eastAsia="en-GB"/>
        </w:rPr>
        <w:t>.  C</w:t>
      </w:r>
      <w:r w:rsidR="002D14F9" w:rsidRPr="00A62728">
        <w:rPr>
          <w:lang w:eastAsia="en-GB"/>
        </w:rPr>
        <w:t xml:space="preserve">ontinuing to </w:t>
      </w:r>
      <w:r w:rsidR="00313DCC" w:rsidRPr="00A62728">
        <w:rPr>
          <w:lang w:eastAsia="en-GB"/>
        </w:rPr>
        <w:t>maximi</w:t>
      </w:r>
      <w:r w:rsidR="00313DCC">
        <w:rPr>
          <w:lang w:eastAsia="en-GB"/>
        </w:rPr>
        <w:t>s</w:t>
      </w:r>
      <w:r w:rsidR="00313DCC" w:rsidRPr="00A62728">
        <w:rPr>
          <w:lang w:eastAsia="en-GB"/>
        </w:rPr>
        <w:t xml:space="preserve">e </w:t>
      </w:r>
      <w:r w:rsidR="002D14F9" w:rsidRPr="00A62728">
        <w:rPr>
          <w:lang w:eastAsia="en-GB"/>
        </w:rPr>
        <w:t>the local economic activity for communities and businesses and focussing on the Heart of Harrow as an area of opportunity.</w:t>
      </w:r>
    </w:p>
    <w:p w14:paraId="3B0DA20A" w14:textId="77777777" w:rsidR="002D14F9" w:rsidRPr="00A62728" w:rsidRDefault="002D14F9" w:rsidP="00FD61BA">
      <w:pPr>
        <w:jc w:val="both"/>
        <w:rPr>
          <w:lang w:eastAsia="en-GB"/>
        </w:rPr>
      </w:pPr>
    </w:p>
    <w:p w14:paraId="150E3A4B" w14:textId="77777777" w:rsidR="002D14F9" w:rsidRPr="00A62728" w:rsidRDefault="002D14F9" w:rsidP="003522DF">
      <w:pPr>
        <w:pStyle w:val="ListParagraph"/>
        <w:numPr>
          <w:ilvl w:val="1"/>
          <w:numId w:val="5"/>
        </w:numPr>
        <w:jc w:val="both"/>
        <w:rPr>
          <w:lang w:eastAsia="en-GB"/>
        </w:rPr>
      </w:pPr>
      <w:r w:rsidRPr="00A62728">
        <w:rPr>
          <w:lang w:eastAsia="en-GB"/>
        </w:rPr>
        <w:t xml:space="preserve">The </w:t>
      </w:r>
      <w:r w:rsidR="00E72D57">
        <w:rPr>
          <w:lang w:eastAsia="en-GB"/>
        </w:rPr>
        <w:t>c</w:t>
      </w:r>
      <w:r w:rsidR="00E72D57" w:rsidRPr="00A62728">
        <w:rPr>
          <w:lang w:eastAsia="en-GB"/>
        </w:rPr>
        <w:t xml:space="preserve">ouncil’s </w:t>
      </w:r>
      <w:r w:rsidRPr="00A62728">
        <w:rPr>
          <w:lang w:eastAsia="en-GB"/>
        </w:rPr>
        <w:t>achievements to date are set out below:</w:t>
      </w:r>
    </w:p>
    <w:p w14:paraId="5DDF0EDC" w14:textId="77777777" w:rsidR="00985B5E" w:rsidRPr="00CD521B" w:rsidRDefault="00985B5E" w:rsidP="00CD521B">
      <w:pPr>
        <w:jc w:val="both"/>
        <w:rPr>
          <w:rFonts w:cs="Arial"/>
        </w:rPr>
      </w:pPr>
    </w:p>
    <w:p w14:paraId="5149EFED" w14:textId="77777777" w:rsidR="00880EB9" w:rsidRDefault="00880EB9" w:rsidP="003522DF">
      <w:pPr>
        <w:numPr>
          <w:ilvl w:val="0"/>
          <w:numId w:val="4"/>
        </w:numPr>
        <w:ind w:left="360"/>
        <w:jc w:val="both"/>
        <w:rPr>
          <w:rFonts w:cs="Arial"/>
        </w:rPr>
      </w:pPr>
      <w:r w:rsidRPr="00880EB9">
        <w:rPr>
          <w:rFonts w:cs="Arial"/>
        </w:rPr>
        <w:t>Harrow scored 169% in the second Housing Delivery Test (HDT) (published February 2020), an annual national measure of housing delivery over the preceding three years (i.e. 2016/17-2018/19), relative to housing targets in adopted development plans (i.e. London Plan/Harrow Local Plan). Harrow’s score compares favourably to the London average of 93% and meant it ranked equal 2nd in London (with Hammersmith &amp; Fulham). The highest score was 184% (Hillingdon) and the lowest was 32% (City of London).</w:t>
      </w:r>
    </w:p>
    <w:p w14:paraId="1C86476B" w14:textId="77777777" w:rsidR="00880EB9" w:rsidRDefault="00880EB9" w:rsidP="00880EB9">
      <w:pPr>
        <w:ind w:left="360"/>
        <w:jc w:val="both"/>
        <w:rPr>
          <w:rFonts w:cs="Arial"/>
        </w:rPr>
      </w:pPr>
    </w:p>
    <w:p w14:paraId="666E920F" w14:textId="77777777" w:rsidR="00880EB9" w:rsidRPr="00880EB9" w:rsidRDefault="00880EB9" w:rsidP="00880EB9">
      <w:pPr>
        <w:ind w:left="360"/>
        <w:jc w:val="both"/>
        <w:rPr>
          <w:rFonts w:cs="Arial"/>
        </w:rPr>
      </w:pPr>
      <w:r w:rsidRPr="00880EB9">
        <w:rPr>
          <w:rFonts w:cs="Arial"/>
        </w:rPr>
        <w:t>Harrow’s score means that it faces no ‘consequence’ (penalty) against the test. Those boroughs that fail to meet the relevant percentage thresholds (which will increase over time) face a series of penalties, ranging from having to prepare an action plan (to identify how the Council boost housing delivery), adding 20% on to our five year housing supply requirement (with potential risk of not being able to demonstrate an adequate five year supply) or in the worst case scenario, being forced to apply the Government’s presumption in favour of sustainable development / give little weight to our Local Plan in making decisions on planning applications (two London boroughs are already forced to do this – City of London and Havering).</w:t>
      </w:r>
    </w:p>
    <w:p w14:paraId="3AE64083" w14:textId="77777777" w:rsidR="00985B5E" w:rsidRPr="00AC6C41" w:rsidRDefault="00985B5E" w:rsidP="00B665A3">
      <w:pPr>
        <w:jc w:val="both"/>
        <w:rPr>
          <w:rFonts w:cs="Arial"/>
        </w:rPr>
      </w:pPr>
    </w:p>
    <w:p w14:paraId="2E45AD1E" w14:textId="77777777" w:rsidR="00121072" w:rsidRDefault="001A549C" w:rsidP="003522DF">
      <w:pPr>
        <w:numPr>
          <w:ilvl w:val="0"/>
          <w:numId w:val="4"/>
        </w:numPr>
        <w:ind w:left="360"/>
        <w:jc w:val="both"/>
        <w:rPr>
          <w:rFonts w:cs="Arial"/>
        </w:rPr>
      </w:pPr>
      <w:r>
        <w:rPr>
          <w:rFonts w:cs="Arial"/>
        </w:rPr>
        <w:t xml:space="preserve">The </w:t>
      </w:r>
      <w:r w:rsidR="00E72D57">
        <w:rPr>
          <w:rFonts w:cs="Arial"/>
        </w:rPr>
        <w:t xml:space="preserve">council </w:t>
      </w:r>
      <w:r>
        <w:rPr>
          <w:rFonts w:cs="Arial"/>
        </w:rPr>
        <w:t>has supported</w:t>
      </w:r>
      <w:r w:rsidR="00CC5D68">
        <w:rPr>
          <w:rFonts w:cs="Arial"/>
        </w:rPr>
        <w:t xml:space="preserve"> 4,</w:t>
      </w:r>
      <w:r w:rsidR="00D73279">
        <w:rPr>
          <w:rFonts w:cs="Arial"/>
        </w:rPr>
        <w:t>604</w:t>
      </w:r>
      <w:r w:rsidR="00D73279" w:rsidRPr="00375C18">
        <w:rPr>
          <w:rFonts w:cs="Arial"/>
        </w:rPr>
        <w:t xml:space="preserve"> </w:t>
      </w:r>
      <w:r w:rsidR="002D14F9" w:rsidRPr="00375C18">
        <w:rPr>
          <w:rFonts w:cs="Arial"/>
        </w:rPr>
        <w:t xml:space="preserve">businesses </w:t>
      </w:r>
      <w:r w:rsidR="004460D6">
        <w:rPr>
          <w:rFonts w:cs="Arial"/>
        </w:rPr>
        <w:t xml:space="preserve">between the approval of the Regeneration Strategy and March 2020. Data collection has been difficult since </w:t>
      </w:r>
      <w:proofErr w:type="spellStart"/>
      <w:r w:rsidR="004460D6">
        <w:rPr>
          <w:rFonts w:cs="Arial"/>
        </w:rPr>
        <w:t>Covid</w:t>
      </w:r>
      <w:proofErr w:type="spellEnd"/>
      <w:r w:rsidR="004460D6">
        <w:rPr>
          <w:rFonts w:cs="Arial"/>
        </w:rPr>
        <w:t xml:space="preserve"> 19 and a full report on KPI’s is not yet possible. Funding secured from the Strategic Investment Pot (£70k) to support business growth is being utilised to support economic recovery.</w:t>
      </w:r>
      <w:r w:rsidR="002D14F9" w:rsidRPr="00375C18">
        <w:rPr>
          <w:rFonts w:cs="Arial"/>
        </w:rPr>
        <w:t xml:space="preserve">  </w:t>
      </w:r>
    </w:p>
    <w:p w14:paraId="420F3556" w14:textId="77777777" w:rsidR="00121072" w:rsidRDefault="00121072" w:rsidP="00121072">
      <w:pPr>
        <w:ind w:left="360"/>
        <w:jc w:val="both"/>
        <w:rPr>
          <w:rFonts w:cs="Arial"/>
        </w:rPr>
      </w:pPr>
    </w:p>
    <w:p w14:paraId="5C7DEB1F" w14:textId="77777777" w:rsidR="002D14F9" w:rsidRPr="00121072" w:rsidRDefault="00121072" w:rsidP="00121072">
      <w:pPr>
        <w:numPr>
          <w:ilvl w:val="0"/>
          <w:numId w:val="4"/>
        </w:numPr>
        <w:ind w:left="360"/>
        <w:jc w:val="both"/>
        <w:rPr>
          <w:rFonts w:cs="Arial"/>
        </w:rPr>
      </w:pPr>
      <w:r>
        <w:rPr>
          <w:rFonts w:cs="Arial"/>
        </w:rPr>
        <w:t xml:space="preserve"> </w:t>
      </w:r>
      <w:r w:rsidRPr="00121072">
        <w:rPr>
          <w:rFonts w:cs="Arial"/>
        </w:rPr>
        <w:t xml:space="preserve">The Council has now awarded in excess of £33m in local support grants to more than 2,150 businesses as part of the Governments Covid19 support programme. </w:t>
      </w:r>
    </w:p>
    <w:p w14:paraId="65B1FE05" w14:textId="77777777" w:rsidR="002D14F9" w:rsidRPr="00375C18" w:rsidRDefault="002D14F9" w:rsidP="00CD521B">
      <w:pPr>
        <w:jc w:val="both"/>
        <w:rPr>
          <w:rFonts w:cs="Arial"/>
        </w:rPr>
      </w:pPr>
    </w:p>
    <w:p w14:paraId="786AE605" w14:textId="77777777" w:rsidR="002D14F9" w:rsidRPr="004A2FA2" w:rsidRDefault="002D14F9" w:rsidP="003522DF">
      <w:pPr>
        <w:pStyle w:val="ListParagraph"/>
        <w:numPr>
          <w:ilvl w:val="0"/>
          <w:numId w:val="4"/>
        </w:numPr>
        <w:ind w:left="360"/>
        <w:jc w:val="both"/>
        <w:rPr>
          <w:rFonts w:cs="Arial"/>
          <w:lang w:val="en-US"/>
        </w:rPr>
      </w:pPr>
      <w:r w:rsidRPr="004A2FA2">
        <w:rPr>
          <w:rFonts w:cs="Arial"/>
        </w:rPr>
        <w:t>The percentage of spend with</w:t>
      </w:r>
      <w:r w:rsidR="00285D92" w:rsidRPr="004A2FA2">
        <w:rPr>
          <w:rFonts w:cs="Arial"/>
        </w:rPr>
        <w:t xml:space="preserve"> local suppliers has increased </w:t>
      </w:r>
      <w:r w:rsidR="00CC5D68" w:rsidRPr="004A2FA2">
        <w:rPr>
          <w:rFonts w:cs="Arial"/>
          <w:lang w:val="en-US"/>
        </w:rPr>
        <w:t>to 27% of total spend in 2018-19; it is also 27% for the first quarter of 2019-2020.</w:t>
      </w:r>
    </w:p>
    <w:p w14:paraId="380756B6" w14:textId="77777777" w:rsidR="001A549C" w:rsidRPr="00CC5D68" w:rsidRDefault="001A549C" w:rsidP="00CD521B">
      <w:pPr>
        <w:jc w:val="both"/>
        <w:rPr>
          <w:rFonts w:cs="Arial"/>
        </w:rPr>
      </w:pPr>
    </w:p>
    <w:p w14:paraId="0C965891" w14:textId="77777777" w:rsidR="002D14F9" w:rsidRDefault="002D14F9" w:rsidP="003522DF">
      <w:pPr>
        <w:numPr>
          <w:ilvl w:val="0"/>
          <w:numId w:val="4"/>
        </w:numPr>
        <w:ind w:left="360"/>
        <w:jc w:val="both"/>
        <w:rPr>
          <w:rFonts w:cs="Arial"/>
        </w:rPr>
      </w:pPr>
      <w:r w:rsidRPr="00375C18">
        <w:rPr>
          <w:rFonts w:cs="Arial"/>
        </w:rPr>
        <w:t xml:space="preserve">The procurement policies and procedures have been reviewed to ensure a greater emphasis on securing jobs and apprenticeships for Harrow residents and support to Harrow’s Community and Voluntary sector.   </w:t>
      </w:r>
      <w:r w:rsidR="00AD529B">
        <w:rPr>
          <w:rFonts w:cs="Arial"/>
        </w:rPr>
        <w:t xml:space="preserve">For example, the HSDP procurement was weighted 10% in social value to ensure that bidders social value submission were clearly prioritised as part of the bid. </w:t>
      </w:r>
      <w:r w:rsidRPr="00375C18">
        <w:rPr>
          <w:rFonts w:cs="Arial"/>
        </w:rPr>
        <w:t xml:space="preserve"> </w:t>
      </w:r>
    </w:p>
    <w:p w14:paraId="7ED05AFC" w14:textId="77777777" w:rsidR="00FC7017" w:rsidRDefault="00FC7017" w:rsidP="00CD521B">
      <w:pPr>
        <w:pStyle w:val="ListParagraph"/>
        <w:ind w:left="360"/>
        <w:jc w:val="both"/>
        <w:rPr>
          <w:rFonts w:cs="Arial"/>
        </w:rPr>
      </w:pPr>
    </w:p>
    <w:p w14:paraId="7AB6FE0D" w14:textId="77777777" w:rsidR="008C3C35" w:rsidRDefault="004460D6" w:rsidP="00C161AC">
      <w:pPr>
        <w:pStyle w:val="ListParagraph"/>
        <w:numPr>
          <w:ilvl w:val="0"/>
          <w:numId w:val="4"/>
        </w:numPr>
        <w:ind w:left="360"/>
        <w:jc w:val="both"/>
        <w:rPr>
          <w:rFonts w:cs="Arial"/>
        </w:rPr>
      </w:pPr>
      <w:r>
        <w:rPr>
          <w:rFonts w:cs="Arial"/>
        </w:rPr>
        <w:lastRenderedPageBreak/>
        <w:t xml:space="preserve">In 2019/20 </w:t>
      </w:r>
      <w:r w:rsidR="00FC7017" w:rsidRPr="00FC7017">
        <w:rPr>
          <w:rFonts w:cs="Arial"/>
        </w:rPr>
        <w:t xml:space="preserve">£150k </w:t>
      </w:r>
      <w:r>
        <w:rPr>
          <w:rFonts w:cs="Arial"/>
        </w:rPr>
        <w:t>w</w:t>
      </w:r>
      <w:r w:rsidR="009D38E2">
        <w:rPr>
          <w:rFonts w:cs="Arial"/>
        </w:rPr>
        <w:t xml:space="preserve">as </w:t>
      </w:r>
      <w:r w:rsidR="00FC7017" w:rsidRPr="00FC7017">
        <w:rPr>
          <w:rFonts w:cs="Arial"/>
        </w:rPr>
        <w:t xml:space="preserve">secured from </w:t>
      </w:r>
      <w:r w:rsidR="00F94297">
        <w:rPr>
          <w:rFonts w:cs="Arial"/>
        </w:rPr>
        <w:t>MH</w:t>
      </w:r>
      <w:r w:rsidR="00F94297" w:rsidRPr="00FC7017">
        <w:rPr>
          <w:rFonts w:cs="Arial"/>
        </w:rPr>
        <w:t xml:space="preserve">CLG </w:t>
      </w:r>
      <w:r>
        <w:rPr>
          <w:rFonts w:cs="Arial"/>
        </w:rPr>
        <w:t xml:space="preserve">to develop a business case to secure further investment from the Future High Street Fund </w:t>
      </w:r>
      <w:r w:rsidR="00FC7017" w:rsidRPr="00FC7017">
        <w:rPr>
          <w:rFonts w:cs="Arial"/>
        </w:rPr>
        <w:t>for Wealdstone</w:t>
      </w:r>
      <w:r>
        <w:rPr>
          <w:rFonts w:cs="Arial"/>
        </w:rPr>
        <w:t>. The business case will be submitted at t</w:t>
      </w:r>
      <w:r w:rsidR="00090BB6">
        <w:rPr>
          <w:rFonts w:cs="Arial"/>
        </w:rPr>
        <w:t>he end of July 2020 for circa £7-10</w:t>
      </w:r>
      <w:r>
        <w:rPr>
          <w:rFonts w:cs="Arial"/>
        </w:rPr>
        <w:t>m</w:t>
      </w:r>
      <w:r w:rsidR="00090BB6">
        <w:rPr>
          <w:rFonts w:cs="Arial"/>
        </w:rPr>
        <w:t xml:space="preserve"> (dependent capital costs)</w:t>
      </w:r>
      <w:r>
        <w:rPr>
          <w:rFonts w:cs="Arial"/>
        </w:rPr>
        <w:t>. If successful funding will be used to create affordable workspace, improve the digital infrastructure and match fund the Li</w:t>
      </w:r>
      <w:r w:rsidR="00090BB6">
        <w:rPr>
          <w:rFonts w:cs="Arial"/>
        </w:rPr>
        <w:t>v</w:t>
      </w:r>
      <w:r>
        <w:rPr>
          <w:rFonts w:cs="Arial"/>
        </w:rPr>
        <w:t xml:space="preserve">eable Neighbourhood proposal for a bridge between Harrow View </w:t>
      </w:r>
      <w:r w:rsidR="00090BB6">
        <w:rPr>
          <w:rFonts w:cs="Arial"/>
        </w:rPr>
        <w:t xml:space="preserve">East </w:t>
      </w:r>
      <w:r>
        <w:rPr>
          <w:rFonts w:cs="Arial"/>
        </w:rPr>
        <w:t>and the district centre.</w:t>
      </w:r>
    </w:p>
    <w:p w14:paraId="1CC92D54" w14:textId="77777777" w:rsidR="008C3C35" w:rsidRPr="008C3C35" w:rsidRDefault="008C3C35" w:rsidP="008C3C35">
      <w:pPr>
        <w:pStyle w:val="ListParagraph"/>
        <w:rPr>
          <w:rFonts w:cs="Arial"/>
        </w:rPr>
      </w:pPr>
    </w:p>
    <w:p w14:paraId="531927CF" w14:textId="5183D835" w:rsidR="008C3C35" w:rsidRPr="008C3C35" w:rsidRDefault="008C3C35" w:rsidP="008C3C35">
      <w:pPr>
        <w:pStyle w:val="ListParagraph"/>
        <w:ind w:left="360"/>
        <w:jc w:val="both"/>
        <w:rPr>
          <w:rFonts w:cs="Arial"/>
        </w:rPr>
      </w:pPr>
      <w:r w:rsidRPr="008C3C35">
        <w:rPr>
          <w:rFonts w:cs="Arial"/>
        </w:rPr>
        <w:t xml:space="preserve">A £16m capital proposal has been submitted by Regeneration pulling together housing (energy efficiency), transport (replacing LFN funds for Wealdstone), and Economic Development (HAC) to MHCLG at less than 3 days notice to develop and submit a programme. If </w:t>
      </w:r>
      <w:r w:rsidR="008A7BD4" w:rsidRPr="008C3C35">
        <w:rPr>
          <w:rFonts w:cs="Arial"/>
        </w:rPr>
        <w:t>successful,</w:t>
      </w:r>
      <w:r w:rsidRPr="008C3C35">
        <w:rPr>
          <w:rFonts w:cs="Arial"/>
        </w:rPr>
        <w:t xml:space="preserve"> this would provide a huge capital stimulus to Harrow’s economy. Learn Harrow has secured an additional £100k for ESOL from MHCLG ESOL Integration Fund.</w:t>
      </w:r>
    </w:p>
    <w:p w14:paraId="0DFCEADD" w14:textId="77777777" w:rsidR="002D14F9" w:rsidRPr="00375C18" w:rsidRDefault="002D14F9" w:rsidP="00CD521B">
      <w:pPr>
        <w:pStyle w:val="ListParagraph"/>
        <w:ind w:left="360"/>
        <w:jc w:val="both"/>
        <w:rPr>
          <w:rFonts w:cs="Arial"/>
        </w:rPr>
      </w:pPr>
    </w:p>
    <w:p w14:paraId="3ACAE405" w14:textId="77777777" w:rsidR="00A506B0" w:rsidRPr="00AC6C41" w:rsidRDefault="002D14F9" w:rsidP="003522DF">
      <w:pPr>
        <w:numPr>
          <w:ilvl w:val="0"/>
          <w:numId w:val="4"/>
        </w:numPr>
        <w:ind w:left="360"/>
        <w:jc w:val="both"/>
        <w:rPr>
          <w:rFonts w:cs="Arial"/>
        </w:rPr>
      </w:pPr>
      <w:r w:rsidRPr="00A62728">
        <w:rPr>
          <w:rFonts w:cs="Arial"/>
        </w:rPr>
        <w:t>Harrow</w:t>
      </w:r>
      <w:r w:rsidR="00EA6D7B">
        <w:rPr>
          <w:rFonts w:cs="Arial"/>
        </w:rPr>
        <w:t>’s h</w:t>
      </w:r>
      <w:r w:rsidRPr="00A62728">
        <w:rPr>
          <w:rFonts w:cs="Arial"/>
        </w:rPr>
        <w:t>ousing completions target has been met. Between 2014/15 and 201</w:t>
      </w:r>
      <w:r w:rsidR="00FC7017">
        <w:rPr>
          <w:rFonts w:cs="Arial"/>
        </w:rPr>
        <w:t>8</w:t>
      </w:r>
      <w:r w:rsidRPr="00A62728">
        <w:rPr>
          <w:rFonts w:cs="Arial"/>
        </w:rPr>
        <w:t>/1</w:t>
      </w:r>
      <w:r w:rsidR="00FC7017">
        <w:rPr>
          <w:rFonts w:cs="Arial"/>
        </w:rPr>
        <w:t>9</w:t>
      </w:r>
      <w:r w:rsidRPr="00A62728">
        <w:rPr>
          <w:rFonts w:cs="Arial"/>
        </w:rPr>
        <w:t xml:space="preserve"> there have been </w:t>
      </w:r>
      <w:r w:rsidR="00FC7017">
        <w:rPr>
          <w:rFonts w:cs="Arial"/>
        </w:rPr>
        <w:t>4,027</w:t>
      </w:r>
      <w:r w:rsidRPr="00A62728">
        <w:rPr>
          <w:rFonts w:cs="Arial"/>
        </w:rPr>
        <w:t xml:space="preserve"> housing completions</w:t>
      </w:r>
      <w:r w:rsidR="00FC7017">
        <w:rPr>
          <w:rFonts w:cs="Arial"/>
        </w:rPr>
        <w:t xml:space="preserve">.  </w:t>
      </w:r>
      <w:r w:rsidR="00FC7017" w:rsidRPr="00FC7017">
        <w:rPr>
          <w:rFonts w:cs="Arial"/>
          <w:lang w:val="en-US"/>
        </w:rPr>
        <w:t xml:space="preserve">There </w:t>
      </w:r>
      <w:r w:rsidR="00B1058F" w:rsidRPr="00FC7017">
        <w:rPr>
          <w:rFonts w:cs="Arial"/>
          <w:lang w:val="en-US"/>
        </w:rPr>
        <w:t>were</w:t>
      </w:r>
      <w:r w:rsidR="00FC7017" w:rsidRPr="00FC7017">
        <w:rPr>
          <w:rFonts w:cs="Arial"/>
          <w:lang w:val="en-US"/>
        </w:rPr>
        <w:t xml:space="preserve"> a record </w:t>
      </w:r>
      <w:r w:rsidR="00105907">
        <w:rPr>
          <w:rFonts w:cs="Arial"/>
          <w:lang w:val="en-US"/>
        </w:rPr>
        <w:t xml:space="preserve">number of </w:t>
      </w:r>
      <w:r w:rsidR="00FC7017" w:rsidRPr="00FC7017">
        <w:rPr>
          <w:rFonts w:cs="Arial"/>
          <w:lang w:val="en-US"/>
        </w:rPr>
        <w:t>1,209 completions in 2018/19</w:t>
      </w:r>
      <w:r w:rsidR="00FC7017">
        <w:rPr>
          <w:rFonts w:cs="Arial"/>
          <w:lang w:val="en-US"/>
        </w:rPr>
        <w:t>.</w:t>
      </w:r>
    </w:p>
    <w:p w14:paraId="149A7573" w14:textId="77777777" w:rsidR="002D14F9" w:rsidRPr="00A62728" w:rsidRDefault="002D14F9" w:rsidP="00CD521B">
      <w:pPr>
        <w:jc w:val="both"/>
        <w:rPr>
          <w:rFonts w:cs="Arial"/>
        </w:rPr>
      </w:pPr>
    </w:p>
    <w:p w14:paraId="04988A42" w14:textId="77777777" w:rsidR="00427B84" w:rsidRPr="007278EF" w:rsidRDefault="00C5381B" w:rsidP="003522DF">
      <w:pPr>
        <w:pStyle w:val="ListParagraph"/>
        <w:numPr>
          <w:ilvl w:val="0"/>
          <w:numId w:val="4"/>
        </w:numPr>
        <w:spacing w:after="120"/>
        <w:ind w:left="360"/>
        <w:jc w:val="both"/>
        <w:rPr>
          <w:rFonts w:cs="Arial"/>
          <w:szCs w:val="24"/>
        </w:rPr>
      </w:pPr>
      <w:r w:rsidRPr="001346C5">
        <w:rPr>
          <w:rFonts w:cs="Arial"/>
          <w:szCs w:val="24"/>
        </w:rPr>
        <w:t xml:space="preserve">Following consultations on public realm improvements, a procurement process has been undertaken to select artists to provide public art in Rayners Lane and Wealdstone. The intention is </w:t>
      </w:r>
      <w:r w:rsidR="00EA6D7B" w:rsidRPr="001346C5">
        <w:rPr>
          <w:rFonts w:cs="Arial"/>
          <w:szCs w:val="24"/>
        </w:rPr>
        <w:t xml:space="preserve">that </w:t>
      </w:r>
      <w:r w:rsidRPr="001346C5">
        <w:rPr>
          <w:rFonts w:cs="Arial"/>
          <w:szCs w:val="24"/>
        </w:rPr>
        <w:t xml:space="preserve">the art will help provide a sense of identity to these district centres. </w:t>
      </w:r>
    </w:p>
    <w:p w14:paraId="6AFCB268" w14:textId="310BB996" w:rsidR="00FE2290" w:rsidRDefault="00FE2290" w:rsidP="00FD61BA">
      <w:pPr>
        <w:jc w:val="both"/>
        <w:rPr>
          <w:rFonts w:cs="Arial"/>
        </w:rPr>
      </w:pPr>
    </w:p>
    <w:p w14:paraId="29DB6F68" w14:textId="6A5423B4" w:rsidR="00CA229A" w:rsidRDefault="00CA229A" w:rsidP="00FD61BA">
      <w:pPr>
        <w:jc w:val="both"/>
        <w:rPr>
          <w:rFonts w:cs="Arial"/>
        </w:rPr>
      </w:pPr>
    </w:p>
    <w:p w14:paraId="38EA96E5" w14:textId="1AAB9541" w:rsidR="00E866A5" w:rsidRDefault="00E866A5" w:rsidP="00FD61BA">
      <w:pPr>
        <w:jc w:val="both"/>
        <w:rPr>
          <w:rFonts w:cs="Arial"/>
        </w:rPr>
      </w:pPr>
    </w:p>
    <w:p w14:paraId="43898BB8" w14:textId="0EC1F906" w:rsidR="00E866A5" w:rsidRDefault="00E866A5" w:rsidP="00FD61BA">
      <w:pPr>
        <w:jc w:val="both"/>
        <w:rPr>
          <w:rFonts w:cs="Arial"/>
        </w:rPr>
      </w:pPr>
    </w:p>
    <w:p w14:paraId="427B133A" w14:textId="069D6CD1" w:rsidR="00E866A5" w:rsidRDefault="00E866A5" w:rsidP="00FD61BA">
      <w:pPr>
        <w:jc w:val="both"/>
        <w:rPr>
          <w:rFonts w:cs="Arial"/>
        </w:rPr>
      </w:pPr>
    </w:p>
    <w:p w14:paraId="6064521C" w14:textId="03AEE141" w:rsidR="00E866A5" w:rsidRDefault="00E866A5" w:rsidP="00FD61BA">
      <w:pPr>
        <w:jc w:val="both"/>
        <w:rPr>
          <w:rFonts w:cs="Arial"/>
        </w:rPr>
      </w:pPr>
    </w:p>
    <w:p w14:paraId="67042F5C" w14:textId="2699D7D5" w:rsidR="00E866A5" w:rsidRDefault="00E866A5" w:rsidP="00FD61BA">
      <w:pPr>
        <w:jc w:val="both"/>
        <w:rPr>
          <w:rFonts w:cs="Arial"/>
        </w:rPr>
      </w:pPr>
    </w:p>
    <w:p w14:paraId="76F9C012" w14:textId="664A6D7F" w:rsidR="00E866A5" w:rsidRDefault="00E866A5" w:rsidP="00FD61BA">
      <w:pPr>
        <w:jc w:val="both"/>
        <w:rPr>
          <w:rFonts w:cs="Arial"/>
        </w:rPr>
      </w:pPr>
    </w:p>
    <w:p w14:paraId="50577DD3" w14:textId="4782D594" w:rsidR="00E866A5" w:rsidRDefault="00E866A5" w:rsidP="00FD61BA">
      <w:pPr>
        <w:jc w:val="both"/>
        <w:rPr>
          <w:rFonts w:cs="Arial"/>
        </w:rPr>
      </w:pPr>
    </w:p>
    <w:p w14:paraId="01486503" w14:textId="5157DA30" w:rsidR="00E866A5" w:rsidRDefault="00E866A5" w:rsidP="00FD61BA">
      <w:pPr>
        <w:jc w:val="both"/>
        <w:rPr>
          <w:rFonts w:cs="Arial"/>
        </w:rPr>
      </w:pPr>
    </w:p>
    <w:p w14:paraId="325A42D3" w14:textId="4BC2605C" w:rsidR="00E866A5" w:rsidRDefault="00E866A5" w:rsidP="00FD61BA">
      <w:pPr>
        <w:jc w:val="both"/>
        <w:rPr>
          <w:rFonts w:cs="Arial"/>
        </w:rPr>
      </w:pPr>
    </w:p>
    <w:p w14:paraId="7AF77CBD" w14:textId="03795E44" w:rsidR="00E866A5" w:rsidRDefault="00E866A5" w:rsidP="00FD61BA">
      <w:pPr>
        <w:jc w:val="both"/>
        <w:rPr>
          <w:rFonts w:cs="Arial"/>
        </w:rPr>
      </w:pPr>
    </w:p>
    <w:p w14:paraId="62221711" w14:textId="50DBC223" w:rsidR="00E866A5" w:rsidRDefault="00E866A5" w:rsidP="00FD61BA">
      <w:pPr>
        <w:jc w:val="both"/>
        <w:rPr>
          <w:rFonts w:cs="Arial"/>
        </w:rPr>
      </w:pPr>
    </w:p>
    <w:p w14:paraId="19B3A630" w14:textId="1BFB4160" w:rsidR="00E866A5" w:rsidRDefault="00E866A5" w:rsidP="00FD61BA">
      <w:pPr>
        <w:jc w:val="both"/>
        <w:rPr>
          <w:rFonts w:cs="Arial"/>
        </w:rPr>
      </w:pPr>
    </w:p>
    <w:p w14:paraId="1107D3B9" w14:textId="74521D7F" w:rsidR="00E866A5" w:rsidRDefault="00E866A5" w:rsidP="00FD61BA">
      <w:pPr>
        <w:jc w:val="both"/>
        <w:rPr>
          <w:rFonts w:cs="Arial"/>
        </w:rPr>
      </w:pPr>
    </w:p>
    <w:p w14:paraId="0D42814F" w14:textId="4B676407" w:rsidR="00E866A5" w:rsidRDefault="00E866A5" w:rsidP="00FD61BA">
      <w:pPr>
        <w:jc w:val="both"/>
        <w:rPr>
          <w:rFonts w:cs="Arial"/>
        </w:rPr>
      </w:pPr>
    </w:p>
    <w:p w14:paraId="58754073" w14:textId="253668CD" w:rsidR="00E866A5" w:rsidRDefault="00E866A5" w:rsidP="00FD61BA">
      <w:pPr>
        <w:jc w:val="both"/>
        <w:rPr>
          <w:rFonts w:cs="Arial"/>
        </w:rPr>
      </w:pPr>
    </w:p>
    <w:p w14:paraId="335F3EF7" w14:textId="67FF4FF0" w:rsidR="00E866A5" w:rsidRDefault="00E866A5" w:rsidP="00FD61BA">
      <w:pPr>
        <w:jc w:val="both"/>
        <w:rPr>
          <w:rFonts w:cs="Arial"/>
        </w:rPr>
      </w:pPr>
    </w:p>
    <w:p w14:paraId="48AA8B98" w14:textId="51BA2527" w:rsidR="00E866A5" w:rsidRDefault="00E866A5" w:rsidP="00FD61BA">
      <w:pPr>
        <w:jc w:val="both"/>
        <w:rPr>
          <w:rFonts w:cs="Arial"/>
        </w:rPr>
      </w:pPr>
    </w:p>
    <w:p w14:paraId="6D302853" w14:textId="6B87EC37" w:rsidR="00E866A5" w:rsidRDefault="00E866A5" w:rsidP="00FD61BA">
      <w:pPr>
        <w:jc w:val="both"/>
        <w:rPr>
          <w:rFonts w:cs="Arial"/>
        </w:rPr>
      </w:pPr>
    </w:p>
    <w:p w14:paraId="587DE1C1" w14:textId="704A98FB" w:rsidR="00E866A5" w:rsidRDefault="00E866A5" w:rsidP="00FD61BA">
      <w:pPr>
        <w:jc w:val="both"/>
        <w:rPr>
          <w:rFonts w:cs="Arial"/>
        </w:rPr>
      </w:pPr>
    </w:p>
    <w:p w14:paraId="78DBB64A" w14:textId="1FED1E4F" w:rsidR="00E866A5" w:rsidRDefault="00E866A5" w:rsidP="00FD61BA">
      <w:pPr>
        <w:jc w:val="both"/>
        <w:rPr>
          <w:rFonts w:cs="Arial"/>
        </w:rPr>
      </w:pPr>
    </w:p>
    <w:p w14:paraId="66B0860D" w14:textId="1D139A42" w:rsidR="00E866A5" w:rsidRDefault="00E866A5" w:rsidP="00FD61BA">
      <w:pPr>
        <w:jc w:val="both"/>
        <w:rPr>
          <w:rFonts w:cs="Arial"/>
        </w:rPr>
      </w:pPr>
    </w:p>
    <w:p w14:paraId="1411A148" w14:textId="03650FB1" w:rsidR="00E866A5" w:rsidRDefault="00E866A5" w:rsidP="00FD61BA">
      <w:pPr>
        <w:jc w:val="both"/>
        <w:rPr>
          <w:rFonts w:cs="Arial"/>
        </w:rPr>
      </w:pPr>
    </w:p>
    <w:p w14:paraId="5717A62F" w14:textId="414F2B59" w:rsidR="00E866A5" w:rsidRDefault="00E866A5" w:rsidP="00FD61BA">
      <w:pPr>
        <w:jc w:val="both"/>
        <w:rPr>
          <w:rFonts w:cs="Arial"/>
        </w:rPr>
      </w:pPr>
    </w:p>
    <w:p w14:paraId="153EB9BF" w14:textId="2225DA58" w:rsidR="00E866A5" w:rsidRDefault="00E866A5" w:rsidP="00FD61BA">
      <w:pPr>
        <w:jc w:val="both"/>
        <w:rPr>
          <w:rFonts w:cs="Arial"/>
        </w:rPr>
      </w:pPr>
    </w:p>
    <w:p w14:paraId="21363478" w14:textId="3787928C" w:rsidR="009B77BF" w:rsidRDefault="009B77BF" w:rsidP="00FD61BA">
      <w:pPr>
        <w:jc w:val="both"/>
        <w:rPr>
          <w:rFonts w:cs="Arial"/>
        </w:rPr>
      </w:pPr>
    </w:p>
    <w:p w14:paraId="670DCC1D" w14:textId="77777777" w:rsidR="009B77BF" w:rsidRDefault="009B77BF" w:rsidP="00FD61BA">
      <w:pPr>
        <w:jc w:val="both"/>
        <w:rPr>
          <w:rFonts w:cs="Arial"/>
        </w:rPr>
      </w:pPr>
    </w:p>
    <w:p w14:paraId="0EDDEB3C" w14:textId="77777777" w:rsidR="007278EF" w:rsidRPr="00CA229A" w:rsidRDefault="007278EF" w:rsidP="00FD61BA">
      <w:pPr>
        <w:jc w:val="both"/>
        <w:rPr>
          <w:rFonts w:ascii="Arial Black" w:hAnsi="Arial Black" w:cs="Arial"/>
          <w:b/>
          <w:sz w:val="32"/>
          <w:szCs w:val="32"/>
        </w:rPr>
      </w:pPr>
      <w:r w:rsidRPr="00CA229A">
        <w:rPr>
          <w:rFonts w:ascii="Arial Black" w:hAnsi="Arial Black" w:cs="Arial"/>
          <w:b/>
          <w:sz w:val="32"/>
          <w:szCs w:val="32"/>
        </w:rPr>
        <w:lastRenderedPageBreak/>
        <w:t xml:space="preserve">Section </w:t>
      </w:r>
      <w:r w:rsidR="00CD521B" w:rsidRPr="00CA229A">
        <w:rPr>
          <w:rFonts w:ascii="Arial Black" w:hAnsi="Arial Black" w:cs="Arial"/>
          <w:b/>
          <w:sz w:val="32"/>
          <w:szCs w:val="32"/>
        </w:rPr>
        <w:t>5</w:t>
      </w:r>
      <w:r w:rsidRPr="00CA229A">
        <w:rPr>
          <w:rFonts w:ascii="Arial Black" w:hAnsi="Arial Black" w:cs="Arial"/>
          <w:b/>
          <w:sz w:val="32"/>
          <w:szCs w:val="32"/>
        </w:rPr>
        <w:t xml:space="preserve"> – Update on Projects</w:t>
      </w:r>
    </w:p>
    <w:p w14:paraId="729607E1" w14:textId="77777777" w:rsidR="007278EF" w:rsidRDefault="007278EF" w:rsidP="00FD61BA">
      <w:pPr>
        <w:jc w:val="both"/>
        <w:rPr>
          <w:rFonts w:cs="Arial"/>
          <w:b/>
        </w:rPr>
      </w:pPr>
    </w:p>
    <w:p w14:paraId="00B92D97" w14:textId="77777777" w:rsidR="002D14F9" w:rsidRDefault="00CD521B" w:rsidP="00FD61BA">
      <w:pPr>
        <w:jc w:val="both"/>
        <w:rPr>
          <w:rFonts w:cs="Arial"/>
          <w:b/>
        </w:rPr>
      </w:pPr>
      <w:r>
        <w:rPr>
          <w:rFonts w:cs="Arial"/>
          <w:b/>
        </w:rPr>
        <w:t>5.1 Working in Partnership</w:t>
      </w:r>
    </w:p>
    <w:p w14:paraId="5B16AE3B" w14:textId="77777777" w:rsidR="002D14F9" w:rsidRPr="00A62728" w:rsidRDefault="00CD521B" w:rsidP="00FD61BA">
      <w:pPr>
        <w:jc w:val="both"/>
        <w:rPr>
          <w:rFonts w:cs="Arial"/>
        </w:rPr>
      </w:pPr>
      <w:r>
        <w:rPr>
          <w:rFonts w:cs="Arial"/>
        </w:rPr>
        <w:t xml:space="preserve">The Council continues to work closely with </w:t>
      </w:r>
      <w:r w:rsidR="002D14F9" w:rsidRPr="00A62728">
        <w:rPr>
          <w:rFonts w:cs="Arial"/>
        </w:rPr>
        <w:t>developers and partners</w:t>
      </w:r>
      <w:r>
        <w:rPr>
          <w:rFonts w:cs="Arial"/>
        </w:rPr>
        <w:t xml:space="preserve"> building long term relationships encouraging sustainable development and r</w:t>
      </w:r>
      <w:r w:rsidR="002D14F9" w:rsidRPr="00A62728">
        <w:rPr>
          <w:rFonts w:cs="Arial"/>
        </w:rPr>
        <w:t xml:space="preserve">egeneration opportunities across the </w:t>
      </w:r>
      <w:r w:rsidR="001A549C" w:rsidRPr="00A62728">
        <w:rPr>
          <w:rFonts w:cs="Arial"/>
        </w:rPr>
        <w:t>borough which includes:</w:t>
      </w:r>
    </w:p>
    <w:p w14:paraId="1026E601" w14:textId="77777777" w:rsidR="00E669B9" w:rsidRPr="00A62728" w:rsidRDefault="00E669B9" w:rsidP="00FD61BA">
      <w:pPr>
        <w:jc w:val="both"/>
        <w:rPr>
          <w:rFonts w:cs="Arial"/>
        </w:rPr>
      </w:pPr>
    </w:p>
    <w:p w14:paraId="3F5267C4" w14:textId="77777777" w:rsidR="00E669B9" w:rsidRPr="00A62728" w:rsidRDefault="00CD521B" w:rsidP="00FD61BA">
      <w:pPr>
        <w:kinsoku w:val="0"/>
        <w:overflowPunct w:val="0"/>
        <w:jc w:val="both"/>
        <w:textAlignment w:val="baseline"/>
        <w:rPr>
          <w:rFonts w:cs="Arial"/>
          <w:kern w:val="24"/>
          <w:szCs w:val="24"/>
          <w:lang w:eastAsia="en-GB"/>
        </w:rPr>
      </w:pPr>
      <w:r>
        <w:rPr>
          <w:rFonts w:cs="Arial"/>
          <w:b/>
          <w:bCs/>
          <w:kern w:val="24"/>
          <w:szCs w:val="24"/>
          <w:lang w:eastAsia="en-GB"/>
        </w:rPr>
        <w:t xml:space="preserve">5.2 </w:t>
      </w:r>
      <w:r w:rsidR="002D14F9" w:rsidRPr="00A62728">
        <w:rPr>
          <w:rFonts w:cs="Arial"/>
          <w:b/>
          <w:bCs/>
          <w:kern w:val="24"/>
          <w:szCs w:val="24"/>
          <w:lang w:eastAsia="en-GB"/>
        </w:rPr>
        <w:t>Canons, Rayners Lane and Stanmore station car parks</w:t>
      </w:r>
      <w:r w:rsidR="002D14F9" w:rsidRPr="00A62728">
        <w:rPr>
          <w:rFonts w:cs="Arial"/>
          <w:kern w:val="24"/>
          <w:szCs w:val="24"/>
          <w:lang w:eastAsia="en-GB"/>
        </w:rPr>
        <w:t xml:space="preserve"> </w:t>
      </w:r>
    </w:p>
    <w:p w14:paraId="576394E8" w14:textId="77777777" w:rsidR="005724A5" w:rsidRDefault="002D14F9" w:rsidP="00FD61BA">
      <w:pPr>
        <w:jc w:val="both"/>
        <w:rPr>
          <w:lang w:eastAsia="en-GB"/>
        </w:rPr>
      </w:pPr>
      <w:r>
        <w:rPr>
          <w:lang w:eastAsia="en-GB"/>
        </w:rPr>
        <w:t>Tf</w:t>
      </w:r>
      <w:r w:rsidRPr="00A62728">
        <w:rPr>
          <w:lang w:eastAsia="en-GB"/>
        </w:rPr>
        <w:t xml:space="preserve">L have selected Catalyst Housing Ltd as the preferred development partner, to provide provisionally 400 affordable housing on the site. </w:t>
      </w:r>
      <w:r w:rsidRPr="00AC6C41">
        <w:rPr>
          <w:lang w:eastAsia="en-GB"/>
        </w:rPr>
        <w:t>The pre-application process commence</w:t>
      </w:r>
      <w:r w:rsidR="00E571A3" w:rsidRPr="00AC6C41">
        <w:rPr>
          <w:lang w:eastAsia="en-GB"/>
        </w:rPr>
        <w:t>d</w:t>
      </w:r>
      <w:r w:rsidRPr="00AC6C41">
        <w:rPr>
          <w:lang w:eastAsia="en-GB"/>
        </w:rPr>
        <w:t xml:space="preserve"> in Spring 2019</w:t>
      </w:r>
      <w:r w:rsidR="00AB5AE0">
        <w:rPr>
          <w:lang w:eastAsia="en-GB"/>
        </w:rPr>
        <w:t xml:space="preserve">. </w:t>
      </w:r>
      <w:r w:rsidR="001D6F19">
        <w:rPr>
          <w:lang w:eastAsia="en-GB"/>
        </w:rPr>
        <w:t xml:space="preserve">Planning application has been received </w:t>
      </w:r>
      <w:r w:rsidR="00B1058F">
        <w:rPr>
          <w:lang w:eastAsia="en-GB"/>
        </w:rPr>
        <w:t>for</w:t>
      </w:r>
      <w:r w:rsidR="001D6F19">
        <w:rPr>
          <w:lang w:eastAsia="en-GB"/>
        </w:rPr>
        <w:t xml:space="preserve"> Cannons Park Station</w:t>
      </w:r>
      <w:r w:rsidR="009067C6" w:rsidRPr="00EF6736">
        <w:rPr>
          <w:lang w:eastAsia="en-GB"/>
        </w:rPr>
        <w:t>.</w:t>
      </w:r>
      <w:r w:rsidR="00AB5AE0">
        <w:rPr>
          <w:lang w:eastAsia="en-GB"/>
        </w:rPr>
        <w:t xml:space="preserve"> </w:t>
      </w:r>
    </w:p>
    <w:p w14:paraId="225465CB" w14:textId="77777777" w:rsidR="005724A5" w:rsidRDefault="005724A5" w:rsidP="00FD61BA">
      <w:pPr>
        <w:jc w:val="both"/>
        <w:rPr>
          <w:lang w:eastAsia="en-GB"/>
        </w:rPr>
      </w:pPr>
    </w:p>
    <w:p w14:paraId="1AD1EA99" w14:textId="77777777" w:rsidR="00684310" w:rsidRPr="00CD521B" w:rsidRDefault="005724A5" w:rsidP="00684310">
      <w:pPr>
        <w:jc w:val="both"/>
        <w:rPr>
          <w:rFonts w:ascii="Calibri" w:eastAsia="Calibri" w:hAnsi="Calibri"/>
          <w:color w:val="000000" w:themeColor="text1"/>
          <w:sz w:val="22"/>
          <w:szCs w:val="22"/>
        </w:rPr>
      </w:pPr>
      <w:r w:rsidRPr="00CD521B">
        <w:rPr>
          <w:i/>
          <w:color w:val="000000" w:themeColor="text1"/>
          <w:lang w:eastAsia="en-GB"/>
        </w:rPr>
        <w:t>Post Lockdown:</w:t>
      </w:r>
      <w:r w:rsidR="00CD521B" w:rsidRPr="00CD521B">
        <w:rPr>
          <w:i/>
          <w:color w:val="000000" w:themeColor="text1"/>
          <w:lang w:eastAsia="en-GB"/>
        </w:rPr>
        <w:t xml:space="preserve"> </w:t>
      </w:r>
      <w:r w:rsidR="00684310" w:rsidRPr="00CD521B">
        <w:rPr>
          <w:rFonts w:eastAsia="Calibri" w:cs="Arial"/>
          <w:color w:val="000000" w:themeColor="text1"/>
          <w:szCs w:val="24"/>
          <w:lang w:eastAsia="en-GB"/>
        </w:rPr>
        <w:t>Planning applications have been submitted and formal consultation taking place week commencing 8</w:t>
      </w:r>
      <w:r w:rsidR="00684310" w:rsidRPr="00CD521B">
        <w:rPr>
          <w:rFonts w:eastAsia="Calibri" w:cs="Arial"/>
          <w:color w:val="000000" w:themeColor="text1"/>
          <w:szCs w:val="24"/>
          <w:vertAlign w:val="superscript"/>
          <w:lang w:eastAsia="en-GB"/>
        </w:rPr>
        <w:t>th</w:t>
      </w:r>
      <w:r w:rsidR="00684310" w:rsidRPr="00CD521B">
        <w:rPr>
          <w:rFonts w:eastAsia="Calibri" w:cs="Arial"/>
          <w:color w:val="000000" w:themeColor="text1"/>
          <w:szCs w:val="24"/>
          <w:lang w:eastAsia="en-GB"/>
        </w:rPr>
        <w:t xml:space="preserve"> June 2020. We have agreed an extended consultation period of 6 weeks for these sites. References are:- Canons P/0858/20, Stanmore P/1221/20 and Rayners Lane P/1448/20.</w:t>
      </w:r>
    </w:p>
    <w:p w14:paraId="0221BEDC" w14:textId="77777777" w:rsidR="002D14F9" w:rsidRPr="00CD521B" w:rsidRDefault="002D14F9" w:rsidP="00FD61BA">
      <w:pPr>
        <w:jc w:val="both"/>
        <w:rPr>
          <w:color w:val="000000" w:themeColor="text1"/>
          <w:lang w:eastAsia="en-GB"/>
        </w:rPr>
      </w:pPr>
    </w:p>
    <w:p w14:paraId="63A3B824" w14:textId="77777777" w:rsidR="00684310" w:rsidRPr="00CD521B" w:rsidRDefault="00CD521B" w:rsidP="00684310">
      <w:pPr>
        <w:overflowPunct w:val="0"/>
        <w:jc w:val="both"/>
        <w:textAlignment w:val="baseline"/>
        <w:rPr>
          <w:rFonts w:eastAsia="Calibri" w:cs="Arial"/>
          <w:b/>
          <w:bCs/>
          <w:color w:val="000000" w:themeColor="text1"/>
          <w:szCs w:val="24"/>
          <w:lang w:eastAsia="en-GB"/>
        </w:rPr>
      </w:pPr>
      <w:r w:rsidRPr="00CD521B">
        <w:rPr>
          <w:rFonts w:eastAsia="Calibri" w:cs="Arial"/>
          <w:b/>
          <w:bCs/>
          <w:color w:val="000000" w:themeColor="text1"/>
          <w:szCs w:val="24"/>
          <w:lang w:eastAsia="en-GB"/>
        </w:rPr>
        <w:t xml:space="preserve">5.3 </w:t>
      </w:r>
      <w:r w:rsidR="00684310" w:rsidRPr="00CD521B">
        <w:rPr>
          <w:rFonts w:eastAsia="Calibri" w:cs="Arial"/>
          <w:b/>
          <w:bCs/>
          <w:color w:val="000000" w:themeColor="text1"/>
          <w:szCs w:val="24"/>
          <w:lang w:eastAsia="en-GB"/>
        </w:rPr>
        <w:t>The Ridgeway</w:t>
      </w:r>
      <w:r>
        <w:rPr>
          <w:rFonts w:eastAsia="Calibri" w:cs="Arial"/>
          <w:b/>
          <w:bCs/>
          <w:color w:val="000000" w:themeColor="text1"/>
          <w:szCs w:val="24"/>
          <w:lang w:eastAsia="en-GB"/>
        </w:rPr>
        <w:t xml:space="preserve"> (No.265)</w:t>
      </w:r>
    </w:p>
    <w:p w14:paraId="1ADC1C18" w14:textId="77777777" w:rsidR="00684310" w:rsidRPr="00CD521B" w:rsidRDefault="00684310" w:rsidP="00684310">
      <w:pPr>
        <w:overflowPunct w:val="0"/>
        <w:jc w:val="both"/>
        <w:textAlignment w:val="baseline"/>
        <w:rPr>
          <w:rFonts w:eastAsia="Calibri" w:cs="Arial"/>
          <w:color w:val="000000" w:themeColor="text1"/>
          <w:szCs w:val="24"/>
          <w:lang w:eastAsia="en-GB"/>
        </w:rPr>
      </w:pPr>
      <w:r w:rsidRPr="00CD521B">
        <w:rPr>
          <w:rFonts w:eastAsia="Calibri" w:cs="Arial"/>
          <w:color w:val="000000" w:themeColor="text1"/>
          <w:szCs w:val="24"/>
          <w:lang w:eastAsia="en-GB"/>
        </w:rPr>
        <w:t xml:space="preserve">A planning application has been submitted for the redevelopment of the site to provide a mixed-use scheme comprising buildings ranging from 3-7 storeys for the provision of 178 residential units (C3); 900 sqm of D1 floorspace and associated open space, landscaping, access, car parking, refuse stores and cycle parking and other associated works. </w:t>
      </w:r>
    </w:p>
    <w:p w14:paraId="092E7520" w14:textId="77777777" w:rsidR="00684310" w:rsidRPr="00CD521B" w:rsidRDefault="00684310" w:rsidP="00684310">
      <w:pPr>
        <w:overflowPunct w:val="0"/>
        <w:jc w:val="both"/>
        <w:textAlignment w:val="baseline"/>
        <w:rPr>
          <w:rFonts w:eastAsia="Calibri" w:cs="Arial"/>
          <w:color w:val="000000" w:themeColor="text1"/>
          <w:szCs w:val="24"/>
          <w:lang w:eastAsia="en-GB"/>
        </w:rPr>
      </w:pPr>
    </w:p>
    <w:p w14:paraId="56500D23" w14:textId="77777777" w:rsidR="00684310" w:rsidRPr="00CD521B" w:rsidRDefault="00684310" w:rsidP="00684310">
      <w:pPr>
        <w:overflowPunct w:val="0"/>
        <w:jc w:val="both"/>
        <w:textAlignment w:val="baseline"/>
        <w:rPr>
          <w:rFonts w:eastAsia="Calibri" w:cs="Arial"/>
          <w:color w:val="000000" w:themeColor="text1"/>
          <w:szCs w:val="24"/>
          <w:lang w:eastAsia="en-GB"/>
        </w:rPr>
      </w:pPr>
      <w:r w:rsidRPr="00CD521B">
        <w:rPr>
          <w:rFonts w:eastAsia="Calibri" w:cs="Arial"/>
          <w:i/>
          <w:color w:val="000000" w:themeColor="text1"/>
          <w:szCs w:val="24"/>
          <w:lang w:eastAsia="en-GB"/>
        </w:rPr>
        <w:t>Post Lockdown:</w:t>
      </w:r>
      <w:r w:rsidRPr="00CD521B">
        <w:rPr>
          <w:rFonts w:eastAsia="Calibri" w:cs="Arial"/>
          <w:color w:val="000000" w:themeColor="text1"/>
          <w:szCs w:val="24"/>
          <w:lang w:eastAsia="en-GB"/>
        </w:rPr>
        <w:t xml:space="preserve"> Formal extended consultation period of 6 weeks for this site is taking place week commencing 8</w:t>
      </w:r>
      <w:r w:rsidRPr="00CD521B">
        <w:rPr>
          <w:rFonts w:eastAsia="Calibri" w:cs="Arial"/>
          <w:color w:val="000000" w:themeColor="text1"/>
          <w:szCs w:val="24"/>
          <w:vertAlign w:val="superscript"/>
          <w:lang w:eastAsia="en-GB"/>
        </w:rPr>
        <w:t>th</w:t>
      </w:r>
      <w:r w:rsidRPr="00CD521B">
        <w:rPr>
          <w:rFonts w:eastAsia="Calibri" w:cs="Arial"/>
          <w:color w:val="000000" w:themeColor="text1"/>
          <w:szCs w:val="24"/>
          <w:lang w:eastAsia="en-GB"/>
        </w:rPr>
        <w:t xml:space="preserve"> June 2020. Reference is P/1492/20.</w:t>
      </w:r>
    </w:p>
    <w:p w14:paraId="5814E09D" w14:textId="77777777" w:rsidR="00684310" w:rsidRPr="00A62728" w:rsidRDefault="00684310" w:rsidP="00FD61BA">
      <w:pPr>
        <w:jc w:val="both"/>
        <w:rPr>
          <w:lang w:eastAsia="en-GB"/>
        </w:rPr>
      </w:pPr>
    </w:p>
    <w:p w14:paraId="33F9CC44" w14:textId="77777777" w:rsidR="002D14F9" w:rsidRDefault="00CD521B" w:rsidP="00FD61BA">
      <w:pPr>
        <w:kinsoku w:val="0"/>
        <w:overflowPunct w:val="0"/>
        <w:jc w:val="both"/>
        <w:textAlignment w:val="baseline"/>
        <w:rPr>
          <w:rFonts w:cs="Arial"/>
          <w:kern w:val="24"/>
          <w:szCs w:val="24"/>
          <w:lang w:eastAsia="en-GB"/>
        </w:rPr>
      </w:pPr>
      <w:r>
        <w:rPr>
          <w:rFonts w:cs="Arial"/>
          <w:b/>
          <w:bCs/>
          <w:kern w:val="24"/>
          <w:szCs w:val="24"/>
          <w:lang w:eastAsia="en-GB"/>
        </w:rPr>
        <w:t xml:space="preserve">5.4 </w:t>
      </w:r>
      <w:r w:rsidR="002D14F9" w:rsidRPr="00A62728">
        <w:rPr>
          <w:rFonts w:cs="Arial"/>
          <w:b/>
          <w:bCs/>
          <w:kern w:val="24"/>
          <w:szCs w:val="24"/>
          <w:lang w:eastAsia="en-GB"/>
        </w:rPr>
        <w:t>Harrow</w:t>
      </w:r>
      <w:r w:rsidR="002D14F9">
        <w:rPr>
          <w:rFonts w:cs="Arial"/>
          <w:b/>
          <w:bCs/>
          <w:kern w:val="24"/>
          <w:szCs w:val="24"/>
          <w:lang w:eastAsia="en-GB"/>
        </w:rPr>
        <w:t>-</w:t>
      </w:r>
      <w:r w:rsidR="002D14F9" w:rsidRPr="00A62728">
        <w:rPr>
          <w:rFonts w:cs="Arial"/>
          <w:b/>
          <w:bCs/>
          <w:kern w:val="24"/>
          <w:szCs w:val="24"/>
          <w:lang w:eastAsia="en-GB"/>
        </w:rPr>
        <w:t>on</w:t>
      </w:r>
      <w:r w:rsidR="002D14F9">
        <w:rPr>
          <w:rFonts w:cs="Arial"/>
          <w:b/>
          <w:bCs/>
          <w:kern w:val="24"/>
          <w:szCs w:val="24"/>
          <w:lang w:eastAsia="en-GB"/>
        </w:rPr>
        <w:t>-</w:t>
      </w:r>
      <w:r w:rsidR="002D14F9" w:rsidRPr="00A62728">
        <w:rPr>
          <w:rFonts w:cs="Arial"/>
          <w:b/>
          <w:bCs/>
          <w:kern w:val="24"/>
          <w:szCs w:val="24"/>
          <w:lang w:eastAsia="en-GB"/>
        </w:rPr>
        <w:t>the</w:t>
      </w:r>
      <w:r w:rsidR="002D14F9">
        <w:rPr>
          <w:rFonts w:cs="Arial"/>
          <w:b/>
          <w:bCs/>
          <w:kern w:val="24"/>
          <w:szCs w:val="24"/>
          <w:lang w:eastAsia="en-GB"/>
        </w:rPr>
        <w:t>-</w:t>
      </w:r>
      <w:r w:rsidR="002D14F9" w:rsidRPr="00A62728">
        <w:rPr>
          <w:rFonts w:cs="Arial"/>
          <w:b/>
          <w:bCs/>
          <w:kern w:val="24"/>
          <w:szCs w:val="24"/>
          <w:lang w:eastAsia="en-GB"/>
        </w:rPr>
        <w:t>Hill station</w:t>
      </w:r>
      <w:r w:rsidR="002D14F9" w:rsidRPr="00A62728">
        <w:rPr>
          <w:rFonts w:cs="Arial"/>
          <w:kern w:val="24"/>
          <w:szCs w:val="24"/>
          <w:lang w:eastAsia="en-GB"/>
        </w:rPr>
        <w:t xml:space="preserve"> </w:t>
      </w:r>
    </w:p>
    <w:p w14:paraId="111E0F64" w14:textId="77777777" w:rsidR="002D14F9" w:rsidRPr="00B665A3" w:rsidRDefault="005B2012" w:rsidP="00B665A3">
      <w:pPr>
        <w:overflowPunct w:val="0"/>
        <w:jc w:val="both"/>
        <w:textAlignment w:val="baseline"/>
        <w:rPr>
          <w:rFonts w:eastAsia="Calibri" w:cs="Arial"/>
          <w:color w:val="000000" w:themeColor="text1"/>
          <w:szCs w:val="24"/>
          <w:lang w:eastAsia="en-GB"/>
        </w:rPr>
      </w:pPr>
      <w:r w:rsidRPr="00E3692E">
        <w:rPr>
          <w:rFonts w:cs="Arial"/>
          <w:color w:val="000000" w:themeColor="text1"/>
          <w:kern w:val="24"/>
          <w:szCs w:val="24"/>
          <w:lang w:eastAsia="en-GB"/>
        </w:rPr>
        <w:t>TfL are considering options for the site including the potential for bring forward a masterplan for the wider development.</w:t>
      </w:r>
      <w:r w:rsidR="005724A5" w:rsidRPr="00E3692E">
        <w:rPr>
          <w:rFonts w:cs="Arial"/>
          <w:color w:val="000000" w:themeColor="text1"/>
          <w:kern w:val="24"/>
          <w:szCs w:val="24"/>
          <w:lang w:eastAsia="en-GB"/>
        </w:rPr>
        <w:t xml:space="preserve"> </w:t>
      </w:r>
      <w:r w:rsidR="00684310" w:rsidRPr="00E3692E">
        <w:rPr>
          <w:rFonts w:eastAsia="Calibri" w:cs="Arial"/>
          <w:color w:val="000000" w:themeColor="text1"/>
          <w:szCs w:val="24"/>
          <w:lang w:eastAsia="en-GB"/>
        </w:rPr>
        <w:t>Project is on hold. There was a meeting with TfL back in February this year and they were looking into re-starting the project, but there has been no further movement on the scheme since this meeting.</w:t>
      </w:r>
    </w:p>
    <w:p w14:paraId="49413C21" w14:textId="77777777" w:rsidR="005724A5" w:rsidRDefault="005724A5" w:rsidP="00FD61BA">
      <w:pPr>
        <w:kinsoku w:val="0"/>
        <w:overflowPunct w:val="0"/>
        <w:jc w:val="both"/>
        <w:textAlignment w:val="baseline"/>
        <w:rPr>
          <w:rFonts w:cs="Arial"/>
          <w:kern w:val="24"/>
          <w:szCs w:val="24"/>
          <w:lang w:eastAsia="en-GB"/>
        </w:rPr>
      </w:pPr>
    </w:p>
    <w:p w14:paraId="66AC9ECB" w14:textId="77777777" w:rsidR="005724A5" w:rsidRPr="00E3692E" w:rsidRDefault="005724A5" w:rsidP="00FD61BA">
      <w:pPr>
        <w:kinsoku w:val="0"/>
        <w:overflowPunct w:val="0"/>
        <w:jc w:val="both"/>
        <w:textAlignment w:val="baseline"/>
        <w:rPr>
          <w:rFonts w:cs="Arial"/>
          <w:i/>
          <w:kern w:val="24"/>
          <w:szCs w:val="24"/>
          <w:lang w:eastAsia="en-GB"/>
        </w:rPr>
      </w:pPr>
      <w:r w:rsidRPr="00E3692E">
        <w:rPr>
          <w:rFonts w:cs="Arial"/>
          <w:i/>
          <w:kern w:val="24"/>
          <w:szCs w:val="24"/>
          <w:lang w:eastAsia="en-GB"/>
        </w:rPr>
        <w:t>No change post lockdown</w:t>
      </w:r>
    </w:p>
    <w:p w14:paraId="0754C5AA" w14:textId="77777777" w:rsidR="0064246A" w:rsidRPr="00A62728" w:rsidRDefault="0064246A" w:rsidP="00FD61BA">
      <w:pPr>
        <w:kinsoku w:val="0"/>
        <w:overflowPunct w:val="0"/>
        <w:jc w:val="both"/>
        <w:textAlignment w:val="baseline"/>
        <w:rPr>
          <w:rFonts w:cs="Arial"/>
          <w:kern w:val="24"/>
          <w:szCs w:val="24"/>
          <w:lang w:eastAsia="en-GB"/>
        </w:rPr>
      </w:pPr>
    </w:p>
    <w:p w14:paraId="5A2FBE28" w14:textId="77777777" w:rsidR="00166781" w:rsidRDefault="00E3692E" w:rsidP="00FD61BA">
      <w:pPr>
        <w:jc w:val="both"/>
        <w:rPr>
          <w:rFonts w:eastAsia="Calibri" w:cs="Arial"/>
          <w:b/>
          <w:bCs/>
          <w:iCs/>
          <w:szCs w:val="22"/>
        </w:rPr>
      </w:pPr>
      <w:r>
        <w:rPr>
          <w:rFonts w:eastAsia="Calibri" w:cs="Arial"/>
          <w:b/>
          <w:bCs/>
          <w:iCs/>
          <w:szCs w:val="22"/>
        </w:rPr>
        <w:t xml:space="preserve">5.5 </w:t>
      </w:r>
      <w:r w:rsidR="00166781" w:rsidRPr="005B2012">
        <w:rPr>
          <w:rFonts w:eastAsia="Calibri" w:cs="Arial"/>
          <w:b/>
          <w:bCs/>
          <w:iCs/>
          <w:szCs w:val="22"/>
        </w:rPr>
        <w:t>Former Cumberland Hotel</w:t>
      </w:r>
      <w:r w:rsidR="00C82820">
        <w:rPr>
          <w:rFonts w:eastAsia="Calibri" w:cs="Arial"/>
          <w:b/>
          <w:bCs/>
          <w:iCs/>
          <w:szCs w:val="22"/>
        </w:rPr>
        <w:t>/</w:t>
      </w:r>
      <w:r w:rsidR="00166781" w:rsidRPr="005B2012">
        <w:rPr>
          <w:rFonts w:eastAsia="Calibri" w:cs="Arial"/>
          <w:b/>
          <w:bCs/>
          <w:iCs/>
          <w:szCs w:val="22"/>
        </w:rPr>
        <w:t xml:space="preserve">Victoria Hall sites </w:t>
      </w:r>
    </w:p>
    <w:p w14:paraId="749EF598" w14:textId="51B13C29" w:rsidR="00AB5AE0" w:rsidRDefault="00166781" w:rsidP="00FD61BA">
      <w:pPr>
        <w:jc w:val="both"/>
        <w:rPr>
          <w:rFonts w:eastAsia="Calibri" w:cs="Arial"/>
          <w:szCs w:val="22"/>
        </w:rPr>
      </w:pPr>
      <w:r w:rsidRPr="005B2012">
        <w:rPr>
          <w:rFonts w:eastAsia="Calibri" w:cs="Arial"/>
          <w:iCs/>
          <w:szCs w:val="22"/>
        </w:rPr>
        <w:t xml:space="preserve">Origin Housing is currently on site with Hill Development as their main as contractor. The scheme will deliver a mixed use development including 204 residential units, 569 sqm for replacement Victoria Hall community facilities (Use </w:t>
      </w:r>
      <w:r w:rsidR="005B2012" w:rsidRPr="005B2012">
        <w:rPr>
          <w:rFonts w:eastAsia="Calibri" w:cs="Arial"/>
          <w:iCs/>
          <w:szCs w:val="22"/>
        </w:rPr>
        <w:t xml:space="preserve">Class D2) and a 79 sqm </w:t>
      </w:r>
      <w:r w:rsidRPr="005B2012">
        <w:rPr>
          <w:rFonts w:eastAsia="Calibri" w:cs="Arial"/>
          <w:iCs/>
          <w:szCs w:val="22"/>
        </w:rPr>
        <w:t xml:space="preserve">retail unit along St Johns Road </w:t>
      </w:r>
      <w:r w:rsidRPr="005B2012">
        <w:rPr>
          <w:rFonts w:eastAsia="Calibri" w:cs="Arial"/>
          <w:szCs w:val="22"/>
        </w:rPr>
        <w:t xml:space="preserve">(Use Classes A1-A4, B1, C3, D1 and D2). </w:t>
      </w:r>
      <w:r w:rsidR="005B2012">
        <w:rPr>
          <w:rFonts w:eastAsia="Calibri" w:cs="Arial"/>
          <w:szCs w:val="22"/>
        </w:rPr>
        <w:t>Following some soft market assessments for use, t</w:t>
      </w:r>
      <w:r w:rsidR="005B2012" w:rsidRPr="005B2012">
        <w:rPr>
          <w:rFonts w:eastAsia="Calibri" w:cs="Arial"/>
          <w:szCs w:val="22"/>
        </w:rPr>
        <w:t xml:space="preserve">he commercial space is </w:t>
      </w:r>
      <w:r w:rsidR="005B2012">
        <w:rPr>
          <w:rFonts w:eastAsia="Calibri" w:cs="Arial"/>
          <w:szCs w:val="22"/>
        </w:rPr>
        <w:t xml:space="preserve">now </w:t>
      </w:r>
      <w:r w:rsidR="005B2012" w:rsidRPr="005B2012">
        <w:rPr>
          <w:rFonts w:eastAsia="Calibri" w:cs="Arial"/>
          <w:szCs w:val="22"/>
        </w:rPr>
        <w:t>envisioned to be marketed commercially on completion</w:t>
      </w:r>
      <w:r w:rsidR="005B2012">
        <w:rPr>
          <w:rFonts w:eastAsia="Calibri" w:cs="Arial"/>
          <w:szCs w:val="22"/>
        </w:rPr>
        <w:t xml:space="preserve"> of the development.</w:t>
      </w:r>
      <w:r w:rsidR="00C02B8B">
        <w:rPr>
          <w:rFonts w:eastAsia="Calibri" w:cs="Arial"/>
          <w:szCs w:val="22"/>
        </w:rPr>
        <w:t xml:space="preserve"> </w:t>
      </w:r>
      <w:r w:rsidR="00CA229A" w:rsidRPr="00E3692E">
        <w:rPr>
          <w:rFonts w:eastAsia="Calibri" w:cs="Arial"/>
          <w:i/>
          <w:szCs w:val="22"/>
        </w:rPr>
        <w:t>Pre-Lockdown</w:t>
      </w:r>
      <w:r w:rsidR="00CA7BA3" w:rsidRPr="00E3692E">
        <w:rPr>
          <w:rFonts w:eastAsia="Calibri" w:cs="Arial"/>
          <w:i/>
          <w:szCs w:val="22"/>
        </w:rPr>
        <w:t>:</w:t>
      </w:r>
      <w:r w:rsidR="00CA7BA3">
        <w:rPr>
          <w:rFonts w:eastAsia="Calibri" w:cs="Arial"/>
          <w:szCs w:val="22"/>
        </w:rPr>
        <w:t xml:space="preserve"> Scheme was progressing well in</w:t>
      </w:r>
      <w:r w:rsidR="00CA7BA3" w:rsidRPr="00CA7BA3">
        <w:rPr>
          <w:rFonts w:eastAsia="Calibri" w:cs="Arial"/>
          <w:szCs w:val="22"/>
        </w:rPr>
        <w:t xml:space="preserve"> advanced</w:t>
      </w:r>
      <w:r w:rsidR="00CA7BA3">
        <w:rPr>
          <w:rFonts w:eastAsia="Calibri" w:cs="Arial"/>
          <w:szCs w:val="22"/>
        </w:rPr>
        <w:t xml:space="preserve"> </w:t>
      </w:r>
      <w:r w:rsidR="007D36FF">
        <w:rPr>
          <w:rFonts w:eastAsia="Calibri" w:cs="Arial"/>
          <w:szCs w:val="22"/>
        </w:rPr>
        <w:t xml:space="preserve">of </w:t>
      </w:r>
      <w:r w:rsidR="007D36FF" w:rsidRPr="00CA7BA3">
        <w:rPr>
          <w:rFonts w:eastAsia="Calibri" w:cs="Arial"/>
          <w:szCs w:val="22"/>
        </w:rPr>
        <w:t>its</w:t>
      </w:r>
      <w:r w:rsidR="00CA7BA3" w:rsidRPr="00CA7BA3">
        <w:rPr>
          <w:rFonts w:eastAsia="Calibri" w:cs="Arial"/>
          <w:szCs w:val="22"/>
        </w:rPr>
        <w:t xml:space="preserve"> construction programme.</w:t>
      </w:r>
    </w:p>
    <w:p w14:paraId="1140CC19" w14:textId="77777777" w:rsidR="003619D8" w:rsidRDefault="003619D8" w:rsidP="00FD61BA">
      <w:pPr>
        <w:jc w:val="both"/>
        <w:rPr>
          <w:rFonts w:eastAsia="Calibri" w:cs="Arial"/>
          <w:szCs w:val="22"/>
        </w:rPr>
      </w:pPr>
    </w:p>
    <w:p w14:paraId="531FAAD4" w14:textId="6452B0C8" w:rsidR="00C63BDF" w:rsidRDefault="003619D8" w:rsidP="00FD61BA">
      <w:pPr>
        <w:jc w:val="both"/>
        <w:rPr>
          <w:lang w:eastAsia="en-GB"/>
        </w:rPr>
      </w:pPr>
      <w:r w:rsidRPr="00E3692E">
        <w:rPr>
          <w:i/>
          <w:lang w:eastAsia="en-GB"/>
        </w:rPr>
        <w:t>Post Lockdown:</w:t>
      </w:r>
      <w:r w:rsidR="00C02B8B">
        <w:rPr>
          <w:lang w:eastAsia="en-GB"/>
        </w:rPr>
        <w:t xml:space="preserve"> </w:t>
      </w:r>
      <w:r w:rsidR="00CA7BA3">
        <w:rPr>
          <w:lang w:eastAsia="en-GB"/>
        </w:rPr>
        <w:t xml:space="preserve">Construction work stopped </w:t>
      </w:r>
      <w:r w:rsidR="007D36FF">
        <w:rPr>
          <w:lang w:eastAsia="en-GB"/>
        </w:rPr>
        <w:t>during lockdown</w:t>
      </w:r>
      <w:r w:rsidR="00CA7BA3">
        <w:rPr>
          <w:lang w:eastAsia="en-GB"/>
        </w:rPr>
        <w:t xml:space="preserve"> </w:t>
      </w:r>
      <w:r w:rsidR="00CD27FA">
        <w:rPr>
          <w:lang w:eastAsia="en-GB"/>
        </w:rPr>
        <w:t xml:space="preserve">and has now recommenced. </w:t>
      </w:r>
    </w:p>
    <w:p w14:paraId="75B7EA4F" w14:textId="5D6E2F02" w:rsidR="005B2012" w:rsidRDefault="005B2012" w:rsidP="00FD61BA">
      <w:pPr>
        <w:jc w:val="both"/>
        <w:rPr>
          <w:rFonts w:cs="Arial"/>
          <w:szCs w:val="24"/>
          <w:lang w:eastAsia="en-GB"/>
        </w:rPr>
      </w:pPr>
    </w:p>
    <w:p w14:paraId="670E54C3" w14:textId="2BD6B267" w:rsidR="00E866A5" w:rsidRDefault="00E866A5" w:rsidP="00FD61BA">
      <w:pPr>
        <w:jc w:val="both"/>
        <w:rPr>
          <w:rFonts w:cs="Arial"/>
          <w:szCs w:val="24"/>
          <w:lang w:eastAsia="en-GB"/>
        </w:rPr>
      </w:pPr>
    </w:p>
    <w:p w14:paraId="6686F308" w14:textId="77777777" w:rsidR="00E866A5" w:rsidRPr="00A62728" w:rsidRDefault="00E866A5" w:rsidP="00FD61BA">
      <w:pPr>
        <w:jc w:val="both"/>
        <w:rPr>
          <w:rFonts w:cs="Arial"/>
          <w:szCs w:val="24"/>
          <w:lang w:eastAsia="en-GB"/>
        </w:rPr>
      </w:pPr>
    </w:p>
    <w:p w14:paraId="2BA4DFCC" w14:textId="77777777" w:rsidR="002D14F9" w:rsidRDefault="00E3692E" w:rsidP="00FD61BA">
      <w:pPr>
        <w:kinsoku w:val="0"/>
        <w:overflowPunct w:val="0"/>
        <w:jc w:val="both"/>
        <w:textAlignment w:val="baseline"/>
        <w:rPr>
          <w:rFonts w:cs="Arial"/>
          <w:b/>
          <w:bCs/>
          <w:kern w:val="24"/>
          <w:szCs w:val="24"/>
          <w:lang w:eastAsia="en-GB"/>
        </w:rPr>
      </w:pPr>
      <w:r>
        <w:rPr>
          <w:rFonts w:cs="Arial"/>
          <w:b/>
          <w:bCs/>
          <w:kern w:val="24"/>
          <w:szCs w:val="24"/>
          <w:lang w:eastAsia="en-GB"/>
        </w:rPr>
        <w:lastRenderedPageBreak/>
        <w:t xml:space="preserve">5.6 </w:t>
      </w:r>
      <w:r w:rsidR="002D14F9" w:rsidRPr="00A62728">
        <w:rPr>
          <w:rFonts w:cs="Arial"/>
          <w:b/>
          <w:bCs/>
          <w:kern w:val="24"/>
          <w:szCs w:val="24"/>
          <w:lang w:eastAsia="en-GB"/>
        </w:rPr>
        <w:t xml:space="preserve">Origin Housing </w:t>
      </w:r>
    </w:p>
    <w:p w14:paraId="6F2A5BC4" w14:textId="56A5245C" w:rsidR="00CA7BA3" w:rsidRDefault="002D14F9" w:rsidP="00CA7BA3">
      <w:pPr>
        <w:kinsoku w:val="0"/>
        <w:overflowPunct w:val="0"/>
        <w:jc w:val="both"/>
        <w:textAlignment w:val="baseline"/>
        <w:rPr>
          <w:rFonts w:cs="Arial"/>
          <w:kern w:val="24"/>
          <w:szCs w:val="24"/>
          <w:lang w:eastAsia="en-GB"/>
        </w:rPr>
      </w:pPr>
      <w:r>
        <w:rPr>
          <w:rFonts w:cs="Arial"/>
          <w:kern w:val="24"/>
          <w:szCs w:val="24"/>
          <w:lang w:eastAsia="en-GB"/>
        </w:rPr>
        <w:t xml:space="preserve">The </w:t>
      </w:r>
      <w:r w:rsidRPr="00A62728">
        <w:rPr>
          <w:rFonts w:cs="Arial"/>
          <w:kern w:val="24"/>
          <w:szCs w:val="24"/>
          <w:lang w:eastAsia="en-GB"/>
        </w:rPr>
        <w:t xml:space="preserve">Northolt Road </w:t>
      </w:r>
      <w:r w:rsidR="00893E63" w:rsidRPr="00A62728">
        <w:rPr>
          <w:rFonts w:cs="Arial"/>
          <w:kern w:val="24"/>
          <w:szCs w:val="24"/>
          <w:lang w:eastAsia="en-GB"/>
        </w:rPr>
        <w:t>1</w:t>
      </w:r>
      <w:r w:rsidR="00893E63">
        <w:rPr>
          <w:rFonts w:cs="Arial"/>
          <w:kern w:val="24"/>
          <w:szCs w:val="24"/>
          <w:lang w:eastAsia="en-GB"/>
        </w:rPr>
        <w:t>16</w:t>
      </w:r>
      <w:r w:rsidR="00893E63" w:rsidRPr="00A62728">
        <w:rPr>
          <w:rFonts w:cs="Arial"/>
          <w:kern w:val="24"/>
          <w:szCs w:val="24"/>
          <w:lang w:eastAsia="en-GB"/>
        </w:rPr>
        <w:t xml:space="preserve"> </w:t>
      </w:r>
      <w:r w:rsidRPr="00A62728">
        <w:rPr>
          <w:rFonts w:cs="Arial"/>
          <w:kern w:val="24"/>
          <w:szCs w:val="24"/>
          <w:lang w:eastAsia="en-GB"/>
        </w:rPr>
        <w:t xml:space="preserve">residential unit scheme </w:t>
      </w:r>
      <w:r w:rsidR="00893E63">
        <w:rPr>
          <w:rFonts w:cs="Arial"/>
          <w:kern w:val="24"/>
          <w:szCs w:val="24"/>
          <w:lang w:eastAsia="en-GB"/>
        </w:rPr>
        <w:t>on the site of the former Eaton House and Townsend House completed in April 2019</w:t>
      </w:r>
      <w:r w:rsidRPr="00A62728">
        <w:rPr>
          <w:rFonts w:cs="Arial"/>
          <w:kern w:val="24"/>
          <w:szCs w:val="24"/>
          <w:lang w:eastAsia="en-GB"/>
        </w:rPr>
        <w:t xml:space="preserve">. </w:t>
      </w:r>
      <w:r w:rsidR="00893E63">
        <w:rPr>
          <w:rFonts w:cs="Arial"/>
          <w:kern w:val="24"/>
          <w:szCs w:val="24"/>
          <w:lang w:eastAsia="en-GB"/>
        </w:rPr>
        <w:t xml:space="preserve">In December 2019 builders moved onto </w:t>
      </w:r>
      <w:r w:rsidRPr="00A62728">
        <w:rPr>
          <w:rFonts w:cs="Arial"/>
          <w:kern w:val="24"/>
          <w:szCs w:val="24"/>
          <w:lang w:eastAsia="en-GB"/>
        </w:rPr>
        <w:t>Origin</w:t>
      </w:r>
      <w:r w:rsidR="00893E63">
        <w:rPr>
          <w:rFonts w:cs="Arial"/>
          <w:kern w:val="24"/>
          <w:szCs w:val="24"/>
          <w:lang w:eastAsia="en-GB"/>
        </w:rPr>
        <w:t>’s Wealdstone site in Palmerston Road</w:t>
      </w:r>
      <w:r w:rsidR="001A2D95">
        <w:rPr>
          <w:rFonts w:cs="Arial"/>
          <w:kern w:val="24"/>
          <w:szCs w:val="24"/>
          <w:lang w:eastAsia="en-GB"/>
        </w:rPr>
        <w:t>. Planning permission was approved in November 2019</w:t>
      </w:r>
      <w:r w:rsidRPr="00A62728">
        <w:rPr>
          <w:rFonts w:cs="Arial"/>
          <w:kern w:val="24"/>
          <w:szCs w:val="24"/>
          <w:lang w:eastAsia="en-GB"/>
        </w:rPr>
        <w:t xml:space="preserve"> </w:t>
      </w:r>
      <w:r w:rsidR="001A2D95">
        <w:rPr>
          <w:rFonts w:cs="Arial"/>
          <w:kern w:val="24"/>
          <w:szCs w:val="24"/>
          <w:lang w:eastAsia="en-GB"/>
        </w:rPr>
        <w:t xml:space="preserve">for </w:t>
      </w:r>
      <w:r w:rsidR="001A2D95" w:rsidRPr="001A2D95">
        <w:rPr>
          <w:rFonts w:cs="Arial"/>
          <w:kern w:val="24"/>
          <w:szCs w:val="24"/>
          <w:lang w:eastAsia="en-GB"/>
        </w:rPr>
        <w:t>18</w:t>
      </w:r>
      <w:r w:rsidR="001A2D95" w:rsidRPr="00AC6C41">
        <w:rPr>
          <w:rFonts w:cs="Arial"/>
          <w:kern w:val="24"/>
          <w:szCs w:val="24"/>
          <w:lang w:eastAsia="en-GB"/>
        </w:rPr>
        <w:t>7</w:t>
      </w:r>
      <w:r w:rsidR="001A2D95" w:rsidRPr="001A2D95">
        <w:rPr>
          <w:rFonts w:cs="Arial"/>
          <w:kern w:val="24"/>
          <w:szCs w:val="24"/>
          <w:lang w:eastAsia="en-GB"/>
        </w:rPr>
        <w:t xml:space="preserve"> </w:t>
      </w:r>
      <w:r w:rsidRPr="001A2D95">
        <w:rPr>
          <w:rFonts w:cs="Arial"/>
          <w:kern w:val="24"/>
          <w:szCs w:val="24"/>
          <w:lang w:eastAsia="en-GB"/>
        </w:rPr>
        <w:t>units</w:t>
      </w:r>
      <w:r w:rsidR="001A2D95" w:rsidRPr="00AC6C41">
        <w:rPr>
          <w:rFonts w:cs="Arial"/>
          <w:kern w:val="24"/>
          <w:szCs w:val="24"/>
          <w:lang w:eastAsia="en-GB"/>
        </w:rPr>
        <w:t xml:space="preserve"> (40% affordable)</w:t>
      </w:r>
      <w:r w:rsidRPr="001A2D95">
        <w:rPr>
          <w:rFonts w:cs="Arial"/>
          <w:kern w:val="24"/>
          <w:szCs w:val="24"/>
          <w:lang w:eastAsia="en-GB"/>
        </w:rPr>
        <w:t xml:space="preserve">, </w:t>
      </w:r>
      <w:r w:rsidR="001A2D95" w:rsidRPr="00AC6C41">
        <w:rPr>
          <w:rFonts w:cs="Arial"/>
          <w:kern w:val="24"/>
          <w:szCs w:val="24"/>
          <w:lang w:eastAsia="en-GB"/>
        </w:rPr>
        <w:t xml:space="preserve">in a </w:t>
      </w:r>
      <w:r w:rsidR="00CA229A" w:rsidRPr="001A2D95">
        <w:rPr>
          <w:rFonts w:cs="Arial"/>
          <w:kern w:val="24"/>
          <w:szCs w:val="24"/>
          <w:lang w:eastAsia="en-GB"/>
        </w:rPr>
        <w:t>mixed-use</w:t>
      </w:r>
      <w:r w:rsidR="001A2D95" w:rsidRPr="00AC6C41">
        <w:rPr>
          <w:rFonts w:cs="Arial"/>
          <w:kern w:val="24"/>
          <w:szCs w:val="24"/>
          <w:lang w:eastAsia="en-GB"/>
        </w:rPr>
        <w:t xml:space="preserve"> scheme in buildings between</w:t>
      </w:r>
      <w:r w:rsidRPr="001A2D95">
        <w:rPr>
          <w:rFonts w:cs="Arial"/>
          <w:kern w:val="24"/>
          <w:szCs w:val="24"/>
          <w:lang w:eastAsia="en-GB"/>
        </w:rPr>
        <w:t xml:space="preserve"> 1-17 storey</w:t>
      </w:r>
      <w:r w:rsidR="001A2D95" w:rsidRPr="00AC6C41">
        <w:rPr>
          <w:rFonts w:cs="Arial"/>
          <w:kern w:val="24"/>
          <w:szCs w:val="24"/>
          <w:lang w:eastAsia="en-GB"/>
        </w:rPr>
        <w:t>s in height.</w:t>
      </w:r>
      <w:r w:rsidR="001A2D95" w:rsidRPr="00AC6C41" w:rsidDel="001A2D95">
        <w:rPr>
          <w:rFonts w:cs="Arial"/>
          <w:kern w:val="24"/>
          <w:szCs w:val="24"/>
          <w:lang w:eastAsia="en-GB"/>
        </w:rPr>
        <w:t xml:space="preserve"> </w:t>
      </w:r>
    </w:p>
    <w:p w14:paraId="470F530E" w14:textId="77777777" w:rsidR="00CA7BA3" w:rsidRDefault="00CA7BA3" w:rsidP="00FD61BA">
      <w:pPr>
        <w:kinsoku w:val="0"/>
        <w:overflowPunct w:val="0"/>
        <w:jc w:val="both"/>
        <w:textAlignment w:val="baseline"/>
        <w:rPr>
          <w:rFonts w:cs="Arial"/>
          <w:kern w:val="24"/>
          <w:szCs w:val="24"/>
          <w:lang w:eastAsia="en-GB"/>
        </w:rPr>
      </w:pPr>
    </w:p>
    <w:p w14:paraId="31F22CCF" w14:textId="77777777" w:rsidR="003619D8" w:rsidRPr="00E3692E" w:rsidRDefault="00CA7BA3" w:rsidP="00FD61BA">
      <w:pPr>
        <w:kinsoku w:val="0"/>
        <w:overflowPunct w:val="0"/>
        <w:jc w:val="both"/>
        <w:textAlignment w:val="baseline"/>
        <w:rPr>
          <w:rFonts w:cs="Arial"/>
          <w:i/>
          <w:kern w:val="24"/>
          <w:szCs w:val="24"/>
          <w:lang w:eastAsia="en-GB"/>
        </w:rPr>
      </w:pPr>
      <w:r w:rsidRPr="00BD7DCD">
        <w:rPr>
          <w:i/>
          <w:lang w:eastAsia="en-GB"/>
        </w:rPr>
        <w:t xml:space="preserve">No change post lockdown as the </w:t>
      </w:r>
      <w:r w:rsidR="00F61475" w:rsidRPr="00BD7DCD">
        <w:rPr>
          <w:rFonts w:cs="Arial"/>
          <w:i/>
          <w:kern w:val="24"/>
          <w:szCs w:val="24"/>
          <w:lang w:eastAsia="en-GB"/>
        </w:rPr>
        <w:t xml:space="preserve">scheme </w:t>
      </w:r>
      <w:r w:rsidR="00BD7DCD">
        <w:rPr>
          <w:rFonts w:cs="Arial"/>
          <w:i/>
          <w:kern w:val="24"/>
          <w:szCs w:val="24"/>
          <w:lang w:eastAsia="en-GB"/>
        </w:rPr>
        <w:t xml:space="preserve">was </w:t>
      </w:r>
      <w:r w:rsidR="00F61475">
        <w:rPr>
          <w:rFonts w:cs="Arial"/>
          <w:i/>
          <w:kern w:val="24"/>
          <w:szCs w:val="24"/>
          <w:lang w:eastAsia="en-GB"/>
        </w:rPr>
        <w:t xml:space="preserve">completed on April 2019 </w:t>
      </w:r>
      <w:r w:rsidRPr="00E3692E">
        <w:rPr>
          <w:rFonts w:cs="Arial"/>
          <w:i/>
          <w:kern w:val="24"/>
          <w:szCs w:val="24"/>
          <w:lang w:eastAsia="en-GB"/>
        </w:rPr>
        <w:t xml:space="preserve">  </w:t>
      </w:r>
    </w:p>
    <w:p w14:paraId="32ADCA2E" w14:textId="77777777" w:rsidR="00DA39EB" w:rsidRDefault="00DA39EB" w:rsidP="00FD61BA">
      <w:pPr>
        <w:kinsoku w:val="0"/>
        <w:overflowPunct w:val="0"/>
        <w:jc w:val="both"/>
        <w:textAlignment w:val="baseline"/>
        <w:rPr>
          <w:rFonts w:cs="Arial"/>
          <w:b/>
          <w:bCs/>
          <w:kern w:val="24"/>
          <w:szCs w:val="24"/>
          <w:lang w:eastAsia="en-GB"/>
        </w:rPr>
      </w:pPr>
    </w:p>
    <w:p w14:paraId="50321D67" w14:textId="77777777" w:rsidR="002D14F9" w:rsidRDefault="00E3692E" w:rsidP="00FD61BA">
      <w:pPr>
        <w:kinsoku w:val="0"/>
        <w:overflowPunct w:val="0"/>
        <w:jc w:val="both"/>
        <w:textAlignment w:val="baseline"/>
        <w:rPr>
          <w:rFonts w:cs="Arial"/>
          <w:b/>
          <w:bCs/>
          <w:kern w:val="24"/>
          <w:szCs w:val="24"/>
          <w:lang w:eastAsia="en-GB"/>
        </w:rPr>
      </w:pPr>
      <w:r>
        <w:rPr>
          <w:rFonts w:cs="Arial"/>
          <w:b/>
          <w:bCs/>
          <w:kern w:val="24"/>
          <w:szCs w:val="24"/>
          <w:lang w:eastAsia="en-GB"/>
        </w:rPr>
        <w:t xml:space="preserve">5.7 </w:t>
      </w:r>
      <w:r w:rsidR="002D14F9" w:rsidRPr="00A62728">
        <w:rPr>
          <w:rFonts w:cs="Arial"/>
          <w:b/>
          <w:bCs/>
          <w:kern w:val="24"/>
          <w:szCs w:val="24"/>
          <w:lang w:eastAsia="en-GB"/>
        </w:rPr>
        <w:t xml:space="preserve">Hyde/Barratt </w:t>
      </w:r>
    </w:p>
    <w:p w14:paraId="2D9ED854" w14:textId="7FD7F752" w:rsidR="002D14F9" w:rsidRDefault="00793601" w:rsidP="00FD61BA">
      <w:pPr>
        <w:kinsoku w:val="0"/>
        <w:overflowPunct w:val="0"/>
        <w:spacing w:before="67"/>
        <w:jc w:val="both"/>
        <w:textAlignment w:val="baseline"/>
        <w:rPr>
          <w:rFonts w:cs="Arial"/>
          <w:szCs w:val="24"/>
          <w:lang w:eastAsia="en-GB"/>
        </w:rPr>
      </w:pPr>
      <w:r w:rsidRPr="00793601">
        <w:rPr>
          <w:rFonts w:cs="Arial"/>
          <w:szCs w:val="24"/>
          <w:lang w:eastAsia="en-GB"/>
        </w:rPr>
        <w:t xml:space="preserve">The </w:t>
      </w:r>
      <w:r w:rsidR="00CA229A" w:rsidRPr="00793601">
        <w:rPr>
          <w:rFonts w:cs="Arial"/>
          <w:szCs w:val="24"/>
          <w:lang w:eastAsia="en-GB"/>
        </w:rPr>
        <w:t>318</w:t>
      </w:r>
      <w:r w:rsidR="00CA229A">
        <w:rPr>
          <w:rFonts w:cs="Arial"/>
          <w:szCs w:val="24"/>
          <w:lang w:eastAsia="en-GB"/>
        </w:rPr>
        <w:t xml:space="preserve"> </w:t>
      </w:r>
      <w:r w:rsidR="00CA229A" w:rsidRPr="00793601">
        <w:rPr>
          <w:rFonts w:cs="Arial"/>
          <w:szCs w:val="24"/>
          <w:lang w:eastAsia="en-GB"/>
        </w:rPr>
        <w:t>unit</w:t>
      </w:r>
      <w:r w:rsidRPr="00793601">
        <w:rPr>
          <w:rFonts w:cs="Arial"/>
          <w:szCs w:val="24"/>
          <w:lang w:eastAsia="en-GB"/>
        </w:rPr>
        <w:t xml:space="preserve"> Harrow Square scheme at 51 College Road completed in March 2019 and the commercial units are currently awaiting occupation.  The new library was scheduled to open in Spring </w:t>
      </w:r>
      <w:r w:rsidR="004D1827" w:rsidRPr="00793601">
        <w:rPr>
          <w:rFonts w:cs="Arial"/>
          <w:szCs w:val="24"/>
          <w:lang w:eastAsia="en-GB"/>
        </w:rPr>
        <w:t>2020;</w:t>
      </w:r>
      <w:r w:rsidRPr="00793601">
        <w:rPr>
          <w:rFonts w:cs="Arial"/>
          <w:szCs w:val="24"/>
          <w:lang w:eastAsia="en-GB"/>
        </w:rPr>
        <w:t xml:space="preserve"> </w:t>
      </w:r>
      <w:r w:rsidR="00CA229A" w:rsidRPr="00793601">
        <w:rPr>
          <w:rFonts w:cs="Arial"/>
          <w:szCs w:val="24"/>
          <w:lang w:eastAsia="en-GB"/>
        </w:rPr>
        <w:t>however,</w:t>
      </w:r>
      <w:r w:rsidRPr="00793601">
        <w:rPr>
          <w:rFonts w:cs="Arial"/>
          <w:szCs w:val="24"/>
          <w:lang w:eastAsia="en-GB"/>
        </w:rPr>
        <w:t xml:space="preserve"> this has been delayed due to the Covid-19 crisis.</w:t>
      </w:r>
    </w:p>
    <w:p w14:paraId="41DDD52C" w14:textId="77777777" w:rsidR="003619D8" w:rsidRDefault="003619D8" w:rsidP="00FD61BA">
      <w:pPr>
        <w:kinsoku w:val="0"/>
        <w:overflowPunct w:val="0"/>
        <w:spacing w:before="67"/>
        <w:jc w:val="both"/>
        <w:textAlignment w:val="baseline"/>
        <w:rPr>
          <w:rFonts w:cs="Arial"/>
          <w:szCs w:val="24"/>
          <w:lang w:eastAsia="en-GB"/>
        </w:rPr>
      </w:pPr>
    </w:p>
    <w:p w14:paraId="7647DDD6" w14:textId="77777777" w:rsidR="00E3692E" w:rsidRPr="00E3692E" w:rsidRDefault="00CA7BA3" w:rsidP="00FD61BA">
      <w:pPr>
        <w:kinsoku w:val="0"/>
        <w:overflowPunct w:val="0"/>
        <w:spacing w:before="67"/>
        <w:jc w:val="both"/>
        <w:textAlignment w:val="baseline"/>
        <w:rPr>
          <w:i/>
          <w:lang w:eastAsia="en-GB"/>
        </w:rPr>
      </w:pPr>
      <w:r w:rsidRPr="00E3692E">
        <w:rPr>
          <w:i/>
          <w:lang w:eastAsia="en-GB"/>
        </w:rPr>
        <w:t xml:space="preserve">No change post lockdown </w:t>
      </w:r>
    </w:p>
    <w:p w14:paraId="3E164750" w14:textId="77777777" w:rsidR="00793601" w:rsidRPr="00F83920" w:rsidRDefault="00793601" w:rsidP="00FD61BA">
      <w:pPr>
        <w:kinsoku w:val="0"/>
        <w:overflowPunct w:val="0"/>
        <w:spacing w:before="67"/>
        <w:jc w:val="both"/>
        <w:textAlignment w:val="baseline"/>
        <w:rPr>
          <w:rFonts w:cs="Arial"/>
          <w:szCs w:val="24"/>
          <w:lang w:eastAsia="en-GB"/>
        </w:rPr>
      </w:pPr>
    </w:p>
    <w:p w14:paraId="77BAA98B" w14:textId="77777777" w:rsidR="002D14F9" w:rsidRDefault="00E3692E" w:rsidP="00FD61BA">
      <w:pPr>
        <w:kinsoku w:val="0"/>
        <w:overflowPunct w:val="0"/>
        <w:spacing w:before="67"/>
        <w:jc w:val="both"/>
        <w:textAlignment w:val="baseline"/>
        <w:rPr>
          <w:rFonts w:cs="Arial"/>
          <w:b/>
          <w:bCs/>
          <w:kern w:val="24"/>
          <w:szCs w:val="24"/>
          <w:lang w:eastAsia="en-GB"/>
        </w:rPr>
      </w:pPr>
      <w:r>
        <w:rPr>
          <w:rFonts w:cs="Arial"/>
          <w:b/>
          <w:bCs/>
          <w:kern w:val="24"/>
          <w:szCs w:val="24"/>
          <w:lang w:eastAsia="en-GB"/>
        </w:rPr>
        <w:t xml:space="preserve">5.8 </w:t>
      </w:r>
      <w:r w:rsidR="002D14F9" w:rsidRPr="00A62728">
        <w:rPr>
          <w:rFonts w:cs="Arial"/>
          <w:b/>
          <w:bCs/>
          <w:kern w:val="24"/>
          <w:szCs w:val="24"/>
          <w:lang w:eastAsia="en-GB"/>
        </w:rPr>
        <w:t>Harrow View East</w:t>
      </w:r>
    </w:p>
    <w:p w14:paraId="4F071F66" w14:textId="506C0747" w:rsidR="002D14F9" w:rsidRDefault="002D14F9" w:rsidP="00FD61BA">
      <w:pPr>
        <w:kinsoku w:val="0"/>
        <w:overflowPunct w:val="0"/>
        <w:spacing w:before="67"/>
        <w:jc w:val="both"/>
        <w:textAlignment w:val="baseline"/>
        <w:rPr>
          <w:rFonts w:cs="Arial"/>
          <w:kern w:val="24"/>
          <w:szCs w:val="24"/>
          <w:lang w:eastAsia="en-GB"/>
        </w:rPr>
      </w:pPr>
      <w:r w:rsidRPr="00A62728">
        <w:rPr>
          <w:rFonts w:cs="Arial"/>
          <w:kern w:val="24"/>
          <w:szCs w:val="24"/>
          <w:lang w:eastAsia="en-GB"/>
        </w:rPr>
        <w:t xml:space="preserve">Hyde Housing and Barratt Homes are progressing </w:t>
      </w:r>
      <w:r w:rsidR="006E4333">
        <w:rPr>
          <w:rFonts w:cs="Arial"/>
          <w:kern w:val="24"/>
          <w:szCs w:val="24"/>
          <w:lang w:eastAsia="en-GB"/>
        </w:rPr>
        <w:t xml:space="preserve">well on site </w:t>
      </w:r>
      <w:r w:rsidRPr="00A62728">
        <w:rPr>
          <w:rFonts w:cs="Arial"/>
          <w:kern w:val="24"/>
          <w:szCs w:val="24"/>
          <w:lang w:eastAsia="en-GB"/>
        </w:rPr>
        <w:t>with their redevelopment of the former Kodak site</w:t>
      </w:r>
      <w:r w:rsidR="006E4333">
        <w:rPr>
          <w:rFonts w:cs="Arial"/>
          <w:kern w:val="24"/>
          <w:szCs w:val="24"/>
          <w:lang w:eastAsia="en-GB"/>
        </w:rPr>
        <w:t xml:space="preserve">, with full approval given for 810 units on sites B1, C1 and D7. </w:t>
      </w:r>
      <w:r w:rsidR="004D1CAA">
        <w:rPr>
          <w:rFonts w:cs="Arial"/>
          <w:kern w:val="24"/>
          <w:szCs w:val="24"/>
          <w:lang w:eastAsia="en-GB"/>
        </w:rPr>
        <w:t xml:space="preserve">A further planning application (P/3944/19) was submitted in September 2019 </w:t>
      </w:r>
      <w:r w:rsidR="00424627">
        <w:rPr>
          <w:rFonts w:cs="Arial"/>
          <w:kern w:val="24"/>
          <w:szCs w:val="24"/>
          <w:lang w:eastAsia="en-GB"/>
        </w:rPr>
        <w:t xml:space="preserve">for Plots D1, D2, D4 to D6 for 1,298 </w:t>
      </w:r>
      <w:r w:rsidR="00424627" w:rsidRPr="00505771">
        <w:rPr>
          <w:rFonts w:cs="Arial"/>
        </w:rPr>
        <w:t>residential dwellings (including a 60 unit Extra Care Facility)</w:t>
      </w:r>
      <w:r w:rsidR="000166FE">
        <w:rPr>
          <w:rFonts w:cs="Arial"/>
        </w:rPr>
        <w:t xml:space="preserve"> in a mixed use scheme with buildings up to 18 storeys in height. </w:t>
      </w:r>
      <w:r w:rsidR="00FD1F1E">
        <w:rPr>
          <w:rFonts w:cs="Arial"/>
        </w:rPr>
        <w:t xml:space="preserve">This application </w:t>
      </w:r>
      <w:r w:rsidR="00B27153">
        <w:rPr>
          <w:rFonts w:cs="Arial"/>
        </w:rPr>
        <w:t>was approved by</w:t>
      </w:r>
      <w:r w:rsidR="00FD1F1E">
        <w:rPr>
          <w:rFonts w:cs="Arial"/>
        </w:rPr>
        <w:t xml:space="preserve"> Planning Committee in January 2020</w:t>
      </w:r>
      <w:r w:rsidR="00B27153">
        <w:rPr>
          <w:rFonts w:cs="Arial"/>
        </w:rPr>
        <w:t xml:space="preserve">, </w:t>
      </w:r>
      <w:r w:rsidR="00EE003A">
        <w:rPr>
          <w:rFonts w:cs="Arial"/>
        </w:rPr>
        <w:t>s</w:t>
      </w:r>
      <w:r w:rsidR="00B27153">
        <w:rPr>
          <w:rFonts w:cs="Arial"/>
        </w:rPr>
        <w:t>ubject to legal agreement</w:t>
      </w:r>
      <w:r w:rsidR="00FD1F1E">
        <w:rPr>
          <w:rFonts w:cs="Arial"/>
        </w:rPr>
        <w:t>.</w:t>
      </w:r>
      <w:r w:rsidR="00E3692E">
        <w:rPr>
          <w:rFonts w:cs="Arial"/>
        </w:rPr>
        <w:t xml:space="preserve">    </w:t>
      </w:r>
      <w:r w:rsidR="006E4333">
        <w:rPr>
          <w:rFonts w:cs="Arial"/>
          <w:kern w:val="24"/>
          <w:szCs w:val="24"/>
          <w:lang w:eastAsia="en-GB"/>
        </w:rPr>
        <w:t xml:space="preserve">L&amp;Q have planning permission </w:t>
      </w:r>
      <w:r w:rsidR="004D1CAA">
        <w:rPr>
          <w:rFonts w:cs="Arial"/>
          <w:kern w:val="24"/>
          <w:szCs w:val="24"/>
          <w:lang w:eastAsia="en-GB"/>
        </w:rPr>
        <w:t xml:space="preserve">for </w:t>
      </w:r>
      <w:r w:rsidR="006E4333">
        <w:rPr>
          <w:rFonts w:cs="Arial"/>
          <w:kern w:val="24"/>
          <w:szCs w:val="24"/>
          <w:lang w:eastAsia="en-GB"/>
        </w:rPr>
        <w:t>650 units on sites A1 to A5</w:t>
      </w:r>
      <w:r w:rsidR="004D1CAA">
        <w:rPr>
          <w:rFonts w:cs="Arial"/>
          <w:kern w:val="24"/>
          <w:szCs w:val="24"/>
          <w:lang w:eastAsia="en-GB"/>
        </w:rPr>
        <w:t xml:space="preserve"> and have </w:t>
      </w:r>
      <w:r w:rsidR="00424627">
        <w:rPr>
          <w:rFonts w:cs="Arial"/>
          <w:kern w:val="24"/>
          <w:szCs w:val="24"/>
          <w:lang w:eastAsia="en-GB"/>
        </w:rPr>
        <w:t xml:space="preserve">technically </w:t>
      </w:r>
      <w:r w:rsidR="004D1CAA">
        <w:rPr>
          <w:rFonts w:cs="Arial"/>
          <w:kern w:val="24"/>
          <w:szCs w:val="24"/>
          <w:lang w:eastAsia="en-GB"/>
        </w:rPr>
        <w:t>commenced on site (</w:t>
      </w:r>
      <w:r w:rsidR="00CA229A">
        <w:rPr>
          <w:rFonts w:cs="Arial"/>
          <w:kern w:val="24"/>
          <w:szCs w:val="24"/>
          <w:lang w:eastAsia="en-GB"/>
        </w:rPr>
        <w:t>to</w:t>
      </w:r>
      <w:r w:rsidR="004D1CAA">
        <w:rPr>
          <w:rFonts w:cs="Arial"/>
          <w:kern w:val="24"/>
          <w:szCs w:val="24"/>
          <w:lang w:eastAsia="en-GB"/>
        </w:rPr>
        <w:t xml:space="preserve"> keep this permission alive), </w:t>
      </w:r>
      <w:r w:rsidR="00CC296D">
        <w:rPr>
          <w:rFonts w:cs="Arial"/>
          <w:kern w:val="24"/>
          <w:szCs w:val="24"/>
          <w:lang w:eastAsia="en-GB"/>
        </w:rPr>
        <w:t>although</w:t>
      </w:r>
      <w:r w:rsidR="004D1CAA">
        <w:rPr>
          <w:rFonts w:cs="Arial"/>
          <w:kern w:val="24"/>
          <w:szCs w:val="24"/>
          <w:lang w:eastAsia="en-GB"/>
        </w:rPr>
        <w:t xml:space="preserve"> it is not yet clear when these units will be delivered</w:t>
      </w:r>
      <w:r w:rsidR="006E4333">
        <w:rPr>
          <w:rFonts w:cs="Arial"/>
          <w:kern w:val="24"/>
          <w:szCs w:val="24"/>
          <w:lang w:eastAsia="en-GB"/>
        </w:rPr>
        <w:t xml:space="preserve">.  </w:t>
      </w:r>
      <w:r w:rsidRPr="00A62728">
        <w:rPr>
          <w:rFonts w:cs="Arial"/>
          <w:kern w:val="24"/>
          <w:szCs w:val="24"/>
          <w:lang w:eastAsia="en-GB"/>
        </w:rPr>
        <w:t xml:space="preserve"> </w:t>
      </w:r>
    </w:p>
    <w:p w14:paraId="5F4C6717" w14:textId="77777777" w:rsidR="003619D8" w:rsidRDefault="003619D8" w:rsidP="00FD61BA">
      <w:pPr>
        <w:kinsoku w:val="0"/>
        <w:overflowPunct w:val="0"/>
        <w:spacing w:before="67"/>
        <w:jc w:val="both"/>
        <w:textAlignment w:val="baseline"/>
        <w:rPr>
          <w:rFonts w:cs="Arial"/>
          <w:kern w:val="24"/>
          <w:szCs w:val="24"/>
          <w:lang w:eastAsia="en-GB"/>
        </w:rPr>
      </w:pPr>
    </w:p>
    <w:p w14:paraId="111BD1CC" w14:textId="77777777" w:rsidR="00CA7BA3" w:rsidRPr="00CA7BA3" w:rsidRDefault="003619D8" w:rsidP="00CA7BA3">
      <w:pPr>
        <w:kinsoku w:val="0"/>
        <w:overflowPunct w:val="0"/>
        <w:spacing w:before="67"/>
        <w:jc w:val="both"/>
        <w:textAlignment w:val="baseline"/>
        <w:rPr>
          <w:lang w:eastAsia="en-GB"/>
        </w:rPr>
      </w:pPr>
      <w:r w:rsidRPr="00E3692E">
        <w:rPr>
          <w:i/>
          <w:lang w:eastAsia="en-GB"/>
        </w:rPr>
        <w:t>Post Lockdown:</w:t>
      </w:r>
      <w:r w:rsidR="00CA7BA3">
        <w:rPr>
          <w:lang w:eastAsia="en-GB"/>
        </w:rPr>
        <w:t xml:space="preserve"> </w:t>
      </w:r>
      <w:r w:rsidR="00CA7BA3" w:rsidRPr="00CA7BA3">
        <w:rPr>
          <w:lang w:eastAsia="en-GB"/>
        </w:rPr>
        <w:t xml:space="preserve">The intensified scheme (P/3944/19) is due to be referred to the Mayor under the Stage 2 process. Construction work on Plot D7 has resumed on site and </w:t>
      </w:r>
      <w:r w:rsidR="007D36FF">
        <w:rPr>
          <w:lang w:eastAsia="en-GB"/>
        </w:rPr>
        <w:t xml:space="preserve">approval granted </w:t>
      </w:r>
      <w:r w:rsidR="00CA7BA3" w:rsidRPr="00CA7BA3">
        <w:rPr>
          <w:lang w:eastAsia="en-GB"/>
        </w:rPr>
        <w:t xml:space="preserve">for extended construction hours to enable social distancing on site. All construction activity was ceased during lock down. </w:t>
      </w:r>
    </w:p>
    <w:p w14:paraId="734C3CEC" w14:textId="77777777" w:rsidR="00FE2290" w:rsidRDefault="00FE2290" w:rsidP="00FD61BA">
      <w:pPr>
        <w:kinsoku w:val="0"/>
        <w:overflowPunct w:val="0"/>
        <w:spacing w:before="67"/>
        <w:jc w:val="both"/>
        <w:textAlignment w:val="baseline"/>
        <w:rPr>
          <w:rFonts w:cs="Arial"/>
          <w:b/>
          <w:bCs/>
          <w:kern w:val="24"/>
          <w:szCs w:val="24"/>
          <w:lang w:eastAsia="en-GB"/>
        </w:rPr>
      </w:pPr>
    </w:p>
    <w:p w14:paraId="4ECA2451" w14:textId="77777777" w:rsidR="002D14F9" w:rsidRDefault="00E3692E" w:rsidP="00FD61BA">
      <w:pPr>
        <w:kinsoku w:val="0"/>
        <w:overflowPunct w:val="0"/>
        <w:spacing w:before="67"/>
        <w:jc w:val="both"/>
        <w:textAlignment w:val="baseline"/>
        <w:rPr>
          <w:rFonts w:cs="Arial"/>
          <w:b/>
          <w:bCs/>
          <w:kern w:val="24"/>
          <w:szCs w:val="24"/>
          <w:lang w:eastAsia="en-GB"/>
        </w:rPr>
      </w:pPr>
      <w:r>
        <w:rPr>
          <w:rFonts w:cs="Arial"/>
          <w:b/>
          <w:bCs/>
          <w:kern w:val="24"/>
          <w:szCs w:val="24"/>
          <w:lang w:eastAsia="en-GB"/>
        </w:rPr>
        <w:t xml:space="preserve">5.9 </w:t>
      </w:r>
      <w:r w:rsidR="002D14F9" w:rsidRPr="00A62728">
        <w:rPr>
          <w:rFonts w:cs="Arial"/>
          <w:b/>
          <w:bCs/>
          <w:kern w:val="24"/>
          <w:szCs w:val="24"/>
          <w:lang w:eastAsia="en-GB"/>
        </w:rPr>
        <w:t xml:space="preserve">Harrow View West </w:t>
      </w:r>
    </w:p>
    <w:p w14:paraId="3BE0178F" w14:textId="77777777" w:rsidR="002D14F9" w:rsidRDefault="002D14F9" w:rsidP="00FD61BA">
      <w:pPr>
        <w:kinsoku w:val="0"/>
        <w:overflowPunct w:val="0"/>
        <w:spacing w:before="67"/>
        <w:jc w:val="both"/>
        <w:textAlignment w:val="baseline"/>
        <w:rPr>
          <w:rFonts w:cs="Arial"/>
          <w:kern w:val="24"/>
          <w:szCs w:val="24"/>
          <w:lang w:eastAsia="en-GB"/>
        </w:rPr>
      </w:pPr>
      <w:r w:rsidRPr="00A62728">
        <w:rPr>
          <w:rFonts w:cs="Arial"/>
          <w:kern w:val="24"/>
          <w:szCs w:val="24"/>
          <w:lang w:eastAsia="en-GB"/>
        </w:rPr>
        <w:t>Persimmon</w:t>
      </w:r>
      <w:r w:rsidR="00B27153">
        <w:rPr>
          <w:rFonts w:cs="Arial"/>
          <w:kern w:val="24"/>
          <w:szCs w:val="24"/>
          <w:lang w:eastAsia="en-GB"/>
        </w:rPr>
        <w:t xml:space="preserve"> Homes</w:t>
      </w:r>
      <w:r w:rsidRPr="00A62728">
        <w:rPr>
          <w:rFonts w:cs="Arial"/>
          <w:kern w:val="24"/>
          <w:szCs w:val="24"/>
          <w:lang w:eastAsia="en-GB"/>
        </w:rPr>
        <w:t xml:space="preserve"> are constructing </w:t>
      </w:r>
      <w:r w:rsidR="00494E33" w:rsidRPr="00A62728">
        <w:rPr>
          <w:rFonts w:cs="Arial"/>
          <w:kern w:val="24"/>
          <w:szCs w:val="24"/>
          <w:lang w:eastAsia="en-GB"/>
        </w:rPr>
        <w:t>31</w:t>
      </w:r>
      <w:r w:rsidR="00494E33">
        <w:rPr>
          <w:rFonts w:cs="Arial"/>
          <w:kern w:val="24"/>
          <w:szCs w:val="24"/>
          <w:lang w:eastAsia="en-GB"/>
        </w:rPr>
        <w:t>4</w:t>
      </w:r>
      <w:r w:rsidR="00494E33" w:rsidRPr="00A62728">
        <w:rPr>
          <w:rFonts w:cs="Arial"/>
          <w:kern w:val="24"/>
          <w:szCs w:val="24"/>
          <w:lang w:eastAsia="en-GB"/>
        </w:rPr>
        <w:t xml:space="preserve"> </w:t>
      </w:r>
      <w:r w:rsidRPr="00A62728">
        <w:rPr>
          <w:rFonts w:cs="Arial"/>
          <w:kern w:val="24"/>
          <w:szCs w:val="24"/>
          <w:lang w:eastAsia="en-GB"/>
        </w:rPr>
        <w:t xml:space="preserve">units on the </w:t>
      </w:r>
      <w:r w:rsidRPr="00A62728">
        <w:rPr>
          <w:rFonts w:cs="Arial"/>
          <w:bCs/>
          <w:kern w:val="24"/>
          <w:szCs w:val="24"/>
          <w:lang w:eastAsia="en-GB"/>
        </w:rPr>
        <w:t xml:space="preserve">Harrow View West </w:t>
      </w:r>
      <w:r w:rsidRPr="00A62728">
        <w:rPr>
          <w:rFonts w:cs="Arial"/>
          <w:kern w:val="24"/>
          <w:szCs w:val="24"/>
          <w:lang w:eastAsia="en-GB"/>
        </w:rPr>
        <w:t>site</w:t>
      </w:r>
      <w:r w:rsidR="00510501">
        <w:rPr>
          <w:rFonts w:cs="Arial"/>
          <w:kern w:val="24"/>
          <w:szCs w:val="24"/>
          <w:lang w:eastAsia="en-GB"/>
        </w:rPr>
        <w:t xml:space="preserve"> - 137 units were complete by the end of March 2019</w:t>
      </w:r>
      <w:r w:rsidRPr="00A62728">
        <w:rPr>
          <w:rFonts w:cs="Arial"/>
          <w:kern w:val="24"/>
          <w:szCs w:val="24"/>
          <w:lang w:eastAsia="en-GB"/>
        </w:rPr>
        <w:t>.</w:t>
      </w:r>
      <w:r w:rsidR="003A7121">
        <w:rPr>
          <w:rFonts w:cs="Arial"/>
          <w:kern w:val="24"/>
          <w:szCs w:val="24"/>
          <w:lang w:eastAsia="en-GB"/>
        </w:rPr>
        <w:t xml:space="preserve"> </w:t>
      </w:r>
      <w:r w:rsidR="003A7121" w:rsidRPr="003A7121">
        <w:rPr>
          <w:rFonts w:cs="Arial"/>
          <w:kern w:val="24"/>
          <w:szCs w:val="24"/>
          <w:lang w:eastAsia="en-GB"/>
        </w:rPr>
        <w:t>P/4224/29 - Development to provide eight two storey residential dwellings (5 x 2 Bed and 3 x 3 Bed) in north west corner of the site resulting in an increase of 5 dwellings bringing overall total to 319 units; Parking; Landscaping; Refuse storage was granted subject to a S106 agreement at committee in January. This is in the process of being completed.</w:t>
      </w:r>
    </w:p>
    <w:p w14:paraId="1EF4A484" w14:textId="77777777" w:rsidR="00DF5177" w:rsidRDefault="00DF5177" w:rsidP="00FD61BA">
      <w:pPr>
        <w:kinsoku w:val="0"/>
        <w:overflowPunct w:val="0"/>
        <w:spacing w:before="67"/>
        <w:jc w:val="both"/>
        <w:textAlignment w:val="baseline"/>
        <w:rPr>
          <w:rFonts w:cs="Arial"/>
          <w:kern w:val="24"/>
          <w:szCs w:val="24"/>
          <w:lang w:eastAsia="en-GB"/>
        </w:rPr>
      </w:pPr>
    </w:p>
    <w:p w14:paraId="2A580E15" w14:textId="38B665CF" w:rsidR="003A7121" w:rsidRDefault="003619D8" w:rsidP="003A7121">
      <w:pPr>
        <w:autoSpaceDE w:val="0"/>
        <w:autoSpaceDN w:val="0"/>
        <w:jc w:val="both"/>
        <w:rPr>
          <w:rFonts w:eastAsia="Calibri" w:cs="Arial"/>
          <w:color w:val="000000" w:themeColor="text1"/>
          <w:szCs w:val="24"/>
          <w:lang w:eastAsia="en-GB"/>
        </w:rPr>
      </w:pPr>
      <w:r w:rsidRPr="00E3692E">
        <w:rPr>
          <w:i/>
          <w:color w:val="000000" w:themeColor="text1"/>
          <w:lang w:eastAsia="en-GB"/>
        </w:rPr>
        <w:t>Post Lockdown:</w:t>
      </w:r>
      <w:r w:rsidR="00CA7BA3" w:rsidRPr="00E3692E">
        <w:rPr>
          <w:color w:val="000000" w:themeColor="text1"/>
          <w:lang w:eastAsia="en-GB"/>
        </w:rPr>
        <w:t xml:space="preserve">  </w:t>
      </w:r>
      <w:r w:rsidR="003A7121" w:rsidRPr="00E3692E">
        <w:rPr>
          <w:rFonts w:eastAsia="Calibri" w:cs="Arial"/>
          <w:color w:val="000000" w:themeColor="text1"/>
          <w:szCs w:val="24"/>
          <w:lang w:eastAsia="en-GB"/>
        </w:rPr>
        <w:t xml:space="preserve">Construction work has recommenced on site on the original permission. </w:t>
      </w:r>
    </w:p>
    <w:p w14:paraId="486C9A14" w14:textId="62265D09" w:rsidR="008B1521" w:rsidRDefault="008B1521" w:rsidP="003A7121">
      <w:pPr>
        <w:autoSpaceDE w:val="0"/>
        <w:autoSpaceDN w:val="0"/>
        <w:jc w:val="both"/>
        <w:rPr>
          <w:rFonts w:eastAsia="Calibri" w:cs="Arial"/>
          <w:color w:val="000000" w:themeColor="text1"/>
          <w:szCs w:val="24"/>
          <w:lang w:eastAsia="en-GB"/>
        </w:rPr>
      </w:pPr>
    </w:p>
    <w:p w14:paraId="74CC0805" w14:textId="525C9B48" w:rsidR="00E866A5" w:rsidRDefault="00E866A5" w:rsidP="003A7121">
      <w:pPr>
        <w:autoSpaceDE w:val="0"/>
        <w:autoSpaceDN w:val="0"/>
        <w:jc w:val="both"/>
        <w:rPr>
          <w:rFonts w:eastAsia="Calibri" w:cs="Arial"/>
          <w:color w:val="000000" w:themeColor="text1"/>
          <w:szCs w:val="24"/>
          <w:lang w:eastAsia="en-GB"/>
        </w:rPr>
      </w:pPr>
    </w:p>
    <w:p w14:paraId="45BDEF8C" w14:textId="175C6AC6" w:rsidR="00E866A5" w:rsidRDefault="00E866A5" w:rsidP="003A7121">
      <w:pPr>
        <w:autoSpaceDE w:val="0"/>
        <w:autoSpaceDN w:val="0"/>
        <w:jc w:val="both"/>
        <w:rPr>
          <w:rFonts w:eastAsia="Calibri" w:cs="Arial"/>
          <w:color w:val="000000" w:themeColor="text1"/>
          <w:szCs w:val="24"/>
          <w:lang w:eastAsia="en-GB"/>
        </w:rPr>
      </w:pPr>
    </w:p>
    <w:p w14:paraId="4F78F988" w14:textId="77777777" w:rsidR="009B77BF" w:rsidRDefault="009B77BF" w:rsidP="003A7121">
      <w:pPr>
        <w:autoSpaceDE w:val="0"/>
        <w:autoSpaceDN w:val="0"/>
        <w:jc w:val="both"/>
        <w:rPr>
          <w:rFonts w:eastAsia="Calibri" w:cs="Arial"/>
          <w:color w:val="000000" w:themeColor="text1"/>
          <w:szCs w:val="24"/>
          <w:lang w:eastAsia="en-GB"/>
        </w:rPr>
      </w:pPr>
    </w:p>
    <w:p w14:paraId="4AF8931E" w14:textId="77777777" w:rsidR="00E866A5" w:rsidRPr="00E3692E" w:rsidRDefault="00E866A5" w:rsidP="003A7121">
      <w:pPr>
        <w:autoSpaceDE w:val="0"/>
        <w:autoSpaceDN w:val="0"/>
        <w:jc w:val="both"/>
        <w:rPr>
          <w:rFonts w:eastAsia="Calibri" w:cs="Arial"/>
          <w:color w:val="000000" w:themeColor="text1"/>
          <w:szCs w:val="24"/>
          <w:lang w:eastAsia="en-GB"/>
        </w:rPr>
      </w:pPr>
    </w:p>
    <w:p w14:paraId="007B6E37" w14:textId="77777777" w:rsidR="002D14F9" w:rsidRDefault="00E3692E" w:rsidP="00FD61BA">
      <w:pPr>
        <w:pStyle w:val="Default"/>
        <w:jc w:val="both"/>
        <w:rPr>
          <w:b/>
          <w:bCs/>
          <w:color w:val="auto"/>
        </w:rPr>
      </w:pPr>
      <w:r>
        <w:rPr>
          <w:b/>
          <w:bCs/>
          <w:color w:val="auto"/>
        </w:rPr>
        <w:t xml:space="preserve">5.10 </w:t>
      </w:r>
      <w:r w:rsidR="002D14F9" w:rsidRPr="00A62728">
        <w:rPr>
          <w:b/>
          <w:bCs/>
          <w:color w:val="auto"/>
        </w:rPr>
        <w:t xml:space="preserve">Harrow School </w:t>
      </w:r>
    </w:p>
    <w:p w14:paraId="1A3FD51A" w14:textId="77777777" w:rsidR="003619D8" w:rsidRDefault="002D14F9" w:rsidP="00FD61BA">
      <w:pPr>
        <w:jc w:val="both"/>
        <w:rPr>
          <w:rFonts w:cs="Arial"/>
          <w:szCs w:val="24"/>
          <w:lang w:eastAsia="en-GB"/>
        </w:rPr>
      </w:pPr>
      <w:r w:rsidRPr="00A62728">
        <w:rPr>
          <w:rFonts w:cs="Arial"/>
          <w:szCs w:val="24"/>
          <w:lang w:eastAsia="en-GB"/>
        </w:rPr>
        <w:t xml:space="preserve">The </w:t>
      </w:r>
      <w:r w:rsidR="000107C8">
        <w:rPr>
          <w:rFonts w:cs="Arial"/>
          <w:szCs w:val="24"/>
          <w:lang w:eastAsia="en-GB"/>
        </w:rPr>
        <w:t>c</w:t>
      </w:r>
      <w:r w:rsidR="000107C8" w:rsidRPr="00A62728">
        <w:rPr>
          <w:rFonts w:cs="Arial"/>
          <w:szCs w:val="24"/>
          <w:lang w:eastAsia="en-GB"/>
        </w:rPr>
        <w:t xml:space="preserve">ouncil </w:t>
      </w:r>
      <w:r w:rsidR="00B27153" w:rsidRPr="00A62728">
        <w:rPr>
          <w:rFonts w:cs="Arial"/>
          <w:szCs w:val="24"/>
          <w:lang w:eastAsia="en-GB"/>
        </w:rPr>
        <w:t>ha</w:t>
      </w:r>
      <w:r w:rsidR="00B27153">
        <w:rPr>
          <w:rFonts w:cs="Arial"/>
          <w:szCs w:val="24"/>
          <w:lang w:eastAsia="en-GB"/>
        </w:rPr>
        <w:t>s</w:t>
      </w:r>
      <w:r w:rsidR="00B27153" w:rsidRPr="00A62728">
        <w:rPr>
          <w:rFonts w:cs="Arial"/>
          <w:szCs w:val="24"/>
          <w:lang w:eastAsia="en-GB"/>
        </w:rPr>
        <w:t xml:space="preserve"> </w:t>
      </w:r>
      <w:r w:rsidRPr="00A62728">
        <w:rPr>
          <w:rFonts w:cs="Arial"/>
          <w:szCs w:val="24"/>
          <w:lang w:eastAsia="en-GB"/>
        </w:rPr>
        <w:t>adopted a Supplementary Planning Document, in collaboration with Harrow School, to plan the future of the estate. The school is Harrow’s most well-known institution and the continued success of the school will co</w:t>
      </w:r>
      <w:r>
        <w:rPr>
          <w:rFonts w:cs="Arial"/>
          <w:szCs w:val="24"/>
          <w:lang w:eastAsia="en-GB"/>
        </w:rPr>
        <w:t xml:space="preserve">ntinue to attract investment into </w:t>
      </w:r>
      <w:r w:rsidRPr="00A62728">
        <w:rPr>
          <w:rFonts w:cs="Arial"/>
          <w:szCs w:val="24"/>
          <w:lang w:eastAsia="en-GB"/>
        </w:rPr>
        <w:t xml:space="preserve">the Borough. The school has developed plans for a new science and sports block. Planning Committee resolved to grant planning permission, but the Mayor of London ‘called-in’ the application and directed that it should be refused </w:t>
      </w:r>
      <w:r w:rsidR="006F09FA" w:rsidRPr="00AC6C41">
        <w:rPr>
          <w:szCs w:val="24"/>
          <w:lang w:val="en"/>
        </w:rPr>
        <w:t>in February 2018</w:t>
      </w:r>
      <w:r w:rsidRPr="00A62728">
        <w:rPr>
          <w:rFonts w:cs="Arial"/>
          <w:szCs w:val="24"/>
          <w:lang w:eastAsia="en-GB"/>
        </w:rPr>
        <w:t>.</w:t>
      </w:r>
      <w:r w:rsidR="006F09FA">
        <w:rPr>
          <w:rFonts w:cs="Arial"/>
          <w:szCs w:val="24"/>
          <w:lang w:eastAsia="en-GB"/>
        </w:rPr>
        <w:t xml:space="preserve"> </w:t>
      </w:r>
      <w:r w:rsidRPr="00AC6C41">
        <w:rPr>
          <w:rFonts w:cs="Arial"/>
          <w:szCs w:val="24"/>
          <w:lang w:eastAsia="en-GB"/>
        </w:rPr>
        <w:t xml:space="preserve">Harrow School appealed the decision </w:t>
      </w:r>
      <w:r w:rsidR="006F09FA" w:rsidRPr="00AC6C41">
        <w:rPr>
          <w:rFonts w:cs="Arial"/>
          <w:szCs w:val="24"/>
          <w:lang w:eastAsia="en-GB"/>
        </w:rPr>
        <w:t>in August 2018. T</w:t>
      </w:r>
      <w:r w:rsidRPr="00AC6C41">
        <w:rPr>
          <w:rFonts w:cs="Arial"/>
          <w:szCs w:val="24"/>
          <w:lang w:eastAsia="en-GB"/>
        </w:rPr>
        <w:t xml:space="preserve">he appeal was considered at Public Inquiry </w:t>
      </w:r>
      <w:r w:rsidR="006F09FA" w:rsidRPr="00AC6C41">
        <w:rPr>
          <w:rFonts w:cs="Arial"/>
          <w:szCs w:val="24"/>
          <w:lang w:eastAsia="en-GB"/>
        </w:rPr>
        <w:t>in</w:t>
      </w:r>
      <w:r w:rsidRPr="00AC6C41">
        <w:rPr>
          <w:rFonts w:cs="Arial"/>
          <w:szCs w:val="24"/>
          <w:lang w:eastAsia="en-GB"/>
        </w:rPr>
        <w:t xml:space="preserve"> April</w:t>
      </w:r>
      <w:r w:rsidR="006F09FA" w:rsidRPr="00AC6C41">
        <w:rPr>
          <w:rFonts w:cs="Arial"/>
          <w:szCs w:val="24"/>
          <w:lang w:eastAsia="en-GB"/>
        </w:rPr>
        <w:t>/May</w:t>
      </w:r>
      <w:r w:rsidRPr="00AC6C41">
        <w:rPr>
          <w:rFonts w:cs="Arial"/>
          <w:szCs w:val="24"/>
          <w:lang w:eastAsia="en-GB"/>
        </w:rPr>
        <w:t xml:space="preserve"> 2019</w:t>
      </w:r>
      <w:r w:rsidR="006F09FA" w:rsidRPr="00AC6C41">
        <w:rPr>
          <w:rFonts w:cs="Arial"/>
          <w:szCs w:val="24"/>
          <w:lang w:eastAsia="en-GB"/>
        </w:rPr>
        <w:t xml:space="preserve"> and subsequently allowed on 31 October 2019, with costs awarded against the GLA</w:t>
      </w:r>
      <w:r w:rsidR="00F61475">
        <w:rPr>
          <w:rFonts w:cs="Arial"/>
          <w:szCs w:val="24"/>
          <w:lang w:eastAsia="en-GB"/>
        </w:rPr>
        <w:t xml:space="preserve"> </w:t>
      </w:r>
      <w:r w:rsidR="00E11EAF" w:rsidRPr="00E11EAF">
        <w:rPr>
          <w:rFonts w:cs="Arial"/>
          <w:szCs w:val="24"/>
          <w:lang w:eastAsia="en-GB"/>
        </w:rPr>
        <w:t>by the Secretary of State. </w:t>
      </w:r>
    </w:p>
    <w:p w14:paraId="1DDF04DD" w14:textId="77777777" w:rsidR="00E3692E" w:rsidRDefault="00E3692E" w:rsidP="00FD61BA">
      <w:pPr>
        <w:jc w:val="both"/>
        <w:rPr>
          <w:lang w:eastAsia="en-GB"/>
        </w:rPr>
      </w:pPr>
    </w:p>
    <w:p w14:paraId="0FCA5D08" w14:textId="77777777" w:rsidR="003619D8" w:rsidRPr="00A62728" w:rsidRDefault="003619D8" w:rsidP="00FD61BA">
      <w:pPr>
        <w:jc w:val="both"/>
        <w:rPr>
          <w:rFonts w:cs="Arial"/>
          <w:szCs w:val="24"/>
          <w:lang w:eastAsia="en-GB"/>
        </w:rPr>
      </w:pPr>
      <w:r w:rsidRPr="00E3692E">
        <w:rPr>
          <w:i/>
          <w:lang w:eastAsia="en-GB"/>
        </w:rPr>
        <w:t>Post Lockdown:</w:t>
      </w:r>
      <w:r w:rsidR="00E11EAF">
        <w:rPr>
          <w:lang w:eastAsia="en-GB"/>
        </w:rPr>
        <w:t xml:space="preserve"> </w:t>
      </w:r>
      <w:r w:rsidR="00E11EAF" w:rsidRPr="00BD7DCD">
        <w:rPr>
          <w:lang w:eastAsia="en-GB"/>
        </w:rPr>
        <w:t>The GLA challenged both Secretary of State decisions (grant of planning permission and award of costs against) to the High Court, which was heard virtually over the 22</w:t>
      </w:r>
      <w:r w:rsidR="00E11EAF" w:rsidRPr="00BD7DCD">
        <w:rPr>
          <w:vertAlign w:val="superscript"/>
          <w:lang w:eastAsia="en-GB"/>
        </w:rPr>
        <w:t>nd</w:t>
      </w:r>
      <w:r w:rsidR="00E11EAF" w:rsidRPr="00BD7DCD">
        <w:rPr>
          <w:lang w:eastAsia="en-GB"/>
        </w:rPr>
        <w:t xml:space="preserve"> and 23</w:t>
      </w:r>
      <w:r w:rsidR="00E11EAF" w:rsidRPr="00BD7DCD">
        <w:rPr>
          <w:vertAlign w:val="superscript"/>
          <w:lang w:eastAsia="en-GB"/>
        </w:rPr>
        <w:t>rd</w:t>
      </w:r>
      <w:r w:rsidR="00E11EAF" w:rsidRPr="00BD7DCD">
        <w:rPr>
          <w:lang w:eastAsia="en-GB"/>
        </w:rPr>
        <w:t xml:space="preserve"> of April 2020. A High Court Order on both decisions was handed down on the 12</w:t>
      </w:r>
      <w:r w:rsidR="00E11EAF" w:rsidRPr="00BD7DCD">
        <w:rPr>
          <w:vertAlign w:val="superscript"/>
          <w:lang w:eastAsia="en-GB"/>
        </w:rPr>
        <w:t>th</w:t>
      </w:r>
      <w:r w:rsidR="00E11EAF" w:rsidRPr="00BD7DCD">
        <w:rPr>
          <w:lang w:eastAsia="en-GB"/>
        </w:rPr>
        <w:t xml:space="preserve"> May 2020, which dismissed the GLA claim (planning permission remained granted), but the order for costs was quashed.</w:t>
      </w:r>
      <w:r w:rsidR="00E3692E">
        <w:rPr>
          <w:lang w:eastAsia="en-GB"/>
        </w:rPr>
        <w:t xml:space="preserve">  </w:t>
      </w:r>
      <w:r w:rsidR="00093ADE">
        <w:rPr>
          <w:lang w:eastAsia="en-GB"/>
        </w:rPr>
        <w:t xml:space="preserve"> </w:t>
      </w:r>
    </w:p>
    <w:p w14:paraId="615FA35B" w14:textId="77777777" w:rsidR="002D14F9" w:rsidRPr="00A62728" w:rsidRDefault="002D14F9" w:rsidP="00FD61BA">
      <w:pPr>
        <w:kinsoku w:val="0"/>
        <w:overflowPunct w:val="0"/>
        <w:spacing w:before="67"/>
        <w:jc w:val="both"/>
        <w:textAlignment w:val="baseline"/>
        <w:rPr>
          <w:rFonts w:cs="Arial"/>
          <w:b/>
          <w:bCs/>
          <w:kern w:val="24"/>
          <w:szCs w:val="24"/>
          <w:lang w:eastAsia="en-GB"/>
        </w:rPr>
      </w:pPr>
    </w:p>
    <w:p w14:paraId="2D0AB908" w14:textId="77777777" w:rsidR="00E669B9" w:rsidRDefault="00093ADE" w:rsidP="00FD61BA">
      <w:pPr>
        <w:kinsoku w:val="0"/>
        <w:overflowPunct w:val="0"/>
        <w:spacing w:before="67"/>
        <w:jc w:val="both"/>
        <w:textAlignment w:val="baseline"/>
        <w:rPr>
          <w:rFonts w:cs="Arial"/>
          <w:b/>
          <w:bCs/>
          <w:kern w:val="24"/>
          <w:szCs w:val="24"/>
          <w:lang w:eastAsia="en-GB"/>
        </w:rPr>
      </w:pPr>
      <w:r>
        <w:rPr>
          <w:rFonts w:cs="Arial"/>
          <w:b/>
          <w:bCs/>
          <w:kern w:val="24"/>
          <w:szCs w:val="24"/>
          <w:lang w:eastAsia="en-GB"/>
        </w:rPr>
        <w:t xml:space="preserve">5.11 </w:t>
      </w:r>
      <w:r w:rsidR="002D14F9" w:rsidRPr="00A62728">
        <w:rPr>
          <w:rFonts w:cs="Arial"/>
          <w:b/>
          <w:bCs/>
          <w:kern w:val="24"/>
          <w:szCs w:val="24"/>
          <w:lang w:eastAsia="en-GB"/>
        </w:rPr>
        <w:t>Palmerston Road</w:t>
      </w:r>
    </w:p>
    <w:p w14:paraId="0F693755" w14:textId="5804D4E1" w:rsidR="00962FA8" w:rsidRPr="00962FA8" w:rsidRDefault="00093ADE" w:rsidP="00962FA8">
      <w:pPr>
        <w:jc w:val="both"/>
        <w:rPr>
          <w:lang w:eastAsia="en-GB"/>
        </w:rPr>
      </w:pPr>
      <w:r>
        <w:rPr>
          <w:lang w:eastAsia="en-GB"/>
        </w:rPr>
        <w:t>A</w:t>
      </w:r>
      <w:r w:rsidR="00552844">
        <w:rPr>
          <w:lang w:eastAsia="en-GB"/>
        </w:rPr>
        <w:t xml:space="preserve"> </w:t>
      </w:r>
      <w:r w:rsidR="00CA229A">
        <w:rPr>
          <w:lang w:eastAsia="en-GB"/>
        </w:rPr>
        <w:t>m</w:t>
      </w:r>
      <w:r w:rsidR="00CA229A" w:rsidRPr="00A62728">
        <w:rPr>
          <w:lang w:eastAsia="en-GB"/>
        </w:rPr>
        <w:t>ixed-use</w:t>
      </w:r>
      <w:r w:rsidR="002D14F9" w:rsidRPr="00A62728">
        <w:rPr>
          <w:lang w:eastAsia="en-GB"/>
        </w:rPr>
        <w:t xml:space="preserve"> scheme with 222 co-living units </w:t>
      </w:r>
      <w:r w:rsidR="00552844">
        <w:rPr>
          <w:lang w:eastAsia="en-GB"/>
        </w:rPr>
        <w:t>was granted full planning permission in January 2019. Currently known as ‘The Collective’</w:t>
      </w:r>
      <w:r w:rsidR="00B27153">
        <w:rPr>
          <w:lang w:eastAsia="en-GB"/>
        </w:rPr>
        <w:t>,</w:t>
      </w:r>
      <w:r w:rsidR="00552844">
        <w:rPr>
          <w:lang w:eastAsia="en-GB"/>
        </w:rPr>
        <w:t xml:space="preserve"> work commenced on site in June 2019.</w:t>
      </w:r>
      <w:r w:rsidR="002D14F9" w:rsidRPr="00A62728">
        <w:rPr>
          <w:lang w:eastAsia="en-GB"/>
        </w:rPr>
        <w:t xml:space="preserve"> </w:t>
      </w:r>
      <w:r w:rsidR="00962FA8" w:rsidRPr="00962FA8">
        <w:rPr>
          <w:lang w:eastAsia="en-GB"/>
        </w:rPr>
        <w:t xml:space="preserve">Construction on the Palmerston Road project is commencing </w:t>
      </w:r>
      <w:r w:rsidR="00CA229A" w:rsidRPr="00962FA8">
        <w:rPr>
          <w:lang w:eastAsia="en-GB"/>
        </w:rPr>
        <w:t>well,</w:t>
      </w:r>
      <w:r w:rsidR="00962FA8" w:rsidRPr="00962FA8">
        <w:rPr>
          <w:lang w:eastAsia="en-GB"/>
        </w:rPr>
        <w:t xml:space="preserve"> and they are almost halfway in constructing the superstructure. </w:t>
      </w:r>
    </w:p>
    <w:p w14:paraId="527C8009" w14:textId="77777777" w:rsidR="003619D8" w:rsidRDefault="003619D8" w:rsidP="00FD61BA">
      <w:pPr>
        <w:jc w:val="both"/>
        <w:rPr>
          <w:lang w:eastAsia="en-GB"/>
        </w:rPr>
      </w:pPr>
    </w:p>
    <w:p w14:paraId="0D48B00A" w14:textId="77777777" w:rsidR="003619D8" w:rsidRPr="00093ADE" w:rsidRDefault="00962FA8" w:rsidP="00FD61BA">
      <w:pPr>
        <w:jc w:val="both"/>
        <w:rPr>
          <w:i/>
          <w:lang w:eastAsia="en-GB"/>
        </w:rPr>
      </w:pPr>
      <w:r w:rsidRPr="00093ADE">
        <w:rPr>
          <w:i/>
          <w:lang w:eastAsia="en-GB"/>
        </w:rPr>
        <w:t>No change post lockdown</w:t>
      </w:r>
    </w:p>
    <w:p w14:paraId="38963026" w14:textId="77777777" w:rsidR="006479DF" w:rsidRDefault="006479DF" w:rsidP="00FD61BA">
      <w:pPr>
        <w:jc w:val="both"/>
        <w:rPr>
          <w:lang w:eastAsia="en-GB"/>
        </w:rPr>
      </w:pPr>
    </w:p>
    <w:p w14:paraId="74C1E457" w14:textId="77777777" w:rsidR="002D14F9" w:rsidRPr="008802F2" w:rsidRDefault="00093ADE" w:rsidP="00FD61BA">
      <w:pPr>
        <w:jc w:val="both"/>
        <w:rPr>
          <w:b/>
          <w:lang w:eastAsia="en-GB"/>
        </w:rPr>
      </w:pPr>
      <w:r>
        <w:rPr>
          <w:b/>
          <w:lang w:eastAsia="en-GB"/>
        </w:rPr>
        <w:t xml:space="preserve">5.12 </w:t>
      </w:r>
      <w:r w:rsidR="002D14F9" w:rsidRPr="008802F2">
        <w:rPr>
          <w:b/>
          <w:lang w:eastAsia="en-GB"/>
        </w:rPr>
        <w:t>The Council’s Regeneration Programme</w:t>
      </w:r>
    </w:p>
    <w:p w14:paraId="4D61C2D5" w14:textId="77777777" w:rsidR="002D14F9" w:rsidRPr="00A62728" w:rsidRDefault="002D14F9" w:rsidP="00FD61BA">
      <w:pPr>
        <w:jc w:val="both"/>
        <w:rPr>
          <w:lang w:eastAsia="en-GB"/>
        </w:rPr>
      </w:pPr>
    </w:p>
    <w:p w14:paraId="3A7C4E81" w14:textId="77777777" w:rsidR="002D14F9" w:rsidRDefault="002D14F9" w:rsidP="00FD61BA">
      <w:pPr>
        <w:jc w:val="both"/>
        <w:rPr>
          <w:lang w:eastAsia="en-GB"/>
        </w:rPr>
      </w:pPr>
      <w:r w:rsidRPr="00A62728">
        <w:rPr>
          <w:lang w:eastAsia="en-GB"/>
        </w:rPr>
        <w:t xml:space="preserve">The Regeneration Programme Strategic Objectives </w:t>
      </w:r>
      <w:r w:rsidR="00B27153">
        <w:rPr>
          <w:lang w:eastAsia="en-GB"/>
        </w:rPr>
        <w:t>are</w:t>
      </w:r>
      <w:r w:rsidR="00B27153" w:rsidRPr="00A62728">
        <w:rPr>
          <w:lang w:eastAsia="en-GB"/>
        </w:rPr>
        <w:t xml:space="preserve"> </w:t>
      </w:r>
      <w:r w:rsidRPr="00A62728">
        <w:rPr>
          <w:lang w:eastAsia="en-GB"/>
        </w:rPr>
        <w:t xml:space="preserve">to make the best use of </w:t>
      </w:r>
      <w:r w:rsidR="00E72D57">
        <w:rPr>
          <w:lang w:eastAsia="en-GB"/>
        </w:rPr>
        <w:t>c</w:t>
      </w:r>
      <w:r w:rsidR="00E72D57" w:rsidRPr="00A62728">
        <w:rPr>
          <w:lang w:eastAsia="en-GB"/>
        </w:rPr>
        <w:t xml:space="preserve">ouncil </w:t>
      </w:r>
      <w:r w:rsidRPr="00A62728">
        <w:rPr>
          <w:lang w:eastAsia="en-GB"/>
        </w:rPr>
        <w:t xml:space="preserve">assets by building new homes, making the best commercial value of the assets, stimulating the local economy and giving the local community a sense of place. </w:t>
      </w:r>
    </w:p>
    <w:p w14:paraId="4DDC7EA2" w14:textId="77777777" w:rsidR="0077066E" w:rsidRDefault="0077066E" w:rsidP="00FD61BA">
      <w:pPr>
        <w:jc w:val="both"/>
        <w:rPr>
          <w:rFonts w:cs="Arial"/>
          <w:color w:val="000000" w:themeColor="text1"/>
        </w:rPr>
      </w:pPr>
    </w:p>
    <w:p w14:paraId="1EF2E98A" w14:textId="77777777" w:rsidR="0077066E" w:rsidRDefault="0077066E" w:rsidP="00FD61BA">
      <w:pPr>
        <w:jc w:val="both"/>
        <w:rPr>
          <w:rFonts w:cs="Arial"/>
          <w:color w:val="000000" w:themeColor="text1"/>
        </w:rPr>
      </w:pPr>
      <w:r>
        <w:rPr>
          <w:rFonts w:cs="Arial"/>
          <w:color w:val="000000" w:themeColor="text1"/>
        </w:rPr>
        <w:t xml:space="preserve">The </w:t>
      </w:r>
      <w:r w:rsidRPr="00A062AF">
        <w:rPr>
          <w:rFonts w:cs="Arial"/>
          <w:color w:val="000000" w:themeColor="text1"/>
        </w:rPr>
        <w:t>London</w:t>
      </w:r>
      <w:r w:rsidR="00093ADE">
        <w:rPr>
          <w:rFonts w:cs="Arial"/>
          <w:color w:val="000000" w:themeColor="text1"/>
        </w:rPr>
        <w:t xml:space="preserve"> </w:t>
      </w:r>
      <w:r>
        <w:rPr>
          <w:rFonts w:cs="Arial"/>
          <w:color w:val="000000" w:themeColor="text1"/>
        </w:rPr>
        <w:t>wide</w:t>
      </w:r>
      <w:r w:rsidRPr="00A062AF">
        <w:rPr>
          <w:rFonts w:cs="Arial"/>
          <w:color w:val="000000" w:themeColor="text1"/>
        </w:rPr>
        <w:t xml:space="preserve"> move to delivering priority services on</w:t>
      </w:r>
      <w:r>
        <w:rPr>
          <w:rFonts w:cs="Arial"/>
          <w:color w:val="000000" w:themeColor="text1"/>
        </w:rPr>
        <w:t xml:space="preserve">ly in light of the Covid-19 has driven </w:t>
      </w:r>
      <w:r w:rsidRPr="00A062AF">
        <w:rPr>
          <w:rFonts w:cs="Arial"/>
          <w:color w:val="000000" w:themeColor="text1"/>
        </w:rPr>
        <w:t xml:space="preserve">the </w:t>
      </w:r>
      <w:r>
        <w:rPr>
          <w:rFonts w:cs="Arial"/>
          <w:color w:val="000000" w:themeColor="text1"/>
        </w:rPr>
        <w:t xml:space="preserve">redeployment of </w:t>
      </w:r>
      <w:r w:rsidR="00093ADE">
        <w:rPr>
          <w:rFonts w:cs="Arial"/>
          <w:color w:val="000000" w:themeColor="text1"/>
        </w:rPr>
        <w:t xml:space="preserve">some </w:t>
      </w:r>
      <w:r>
        <w:rPr>
          <w:rFonts w:cs="Arial"/>
          <w:color w:val="000000" w:themeColor="text1"/>
        </w:rPr>
        <w:t xml:space="preserve">staff into </w:t>
      </w:r>
      <w:r w:rsidRPr="00A062AF">
        <w:rPr>
          <w:rFonts w:cs="Arial"/>
          <w:color w:val="000000" w:themeColor="text1"/>
        </w:rPr>
        <w:t>emergency response</w:t>
      </w:r>
      <w:r w:rsidR="00093ADE">
        <w:rPr>
          <w:rFonts w:cs="Arial"/>
          <w:color w:val="000000" w:themeColor="text1"/>
        </w:rPr>
        <w:t xml:space="preserve"> activities.  </w:t>
      </w:r>
    </w:p>
    <w:p w14:paraId="67F6210E" w14:textId="77777777" w:rsidR="003701A7" w:rsidRDefault="003701A7" w:rsidP="00FD61BA">
      <w:pPr>
        <w:jc w:val="both"/>
        <w:rPr>
          <w:rFonts w:cs="Arial"/>
          <w:color w:val="000000" w:themeColor="text1"/>
        </w:rPr>
      </w:pPr>
    </w:p>
    <w:p w14:paraId="685F12B1" w14:textId="77777777" w:rsidR="003701A7" w:rsidRPr="003701A7" w:rsidRDefault="003701A7" w:rsidP="003701A7">
      <w:pPr>
        <w:jc w:val="both"/>
        <w:rPr>
          <w:rFonts w:cs="Arial"/>
        </w:rPr>
      </w:pPr>
      <w:r w:rsidRPr="003701A7">
        <w:rPr>
          <w:rFonts w:cs="Arial"/>
        </w:rPr>
        <w:t xml:space="preserve">All Project Managers who are responsible for live projects have met together twice per week since the COVID-19 caused the shut down. The team have reviewed the advice provided by legal, employer’s agents and other advisors, sharing information between the teams to ensure consistency in our approach across the council led projects.  </w:t>
      </w:r>
    </w:p>
    <w:p w14:paraId="225CECC4" w14:textId="77777777" w:rsidR="0077066E" w:rsidRDefault="0077066E" w:rsidP="00FD61BA">
      <w:pPr>
        <w:jc w:val="both"/>
        <w:rPr>
          <w:lang w:eastAsia="en-GB"/>
        </w:rPr>
      </w:pPr>
    </w:p>
    <w:p w14:paraId="61F3D439" w14:textId="77777777" w:rsidR="0077066E" w:rsidRPr="00A062AF" w:rsidRDefault="00093ADE" w:rsidP="0077066E">
      <w:pPr>
        <w:spacing w:line="276" w:lineRule="auto"/>
        <w:contextualSpacing/>
        <w:rPr>
          <w:rFonts w:cs="Arial"/>
          <w:b/>
          <w:szCs w:val="24"/>
        </w:rPr>
      </w:pPr>
      <w:r>
        <w:rPr>
          <w:rFonts w:cs="Arial"/>
          <w:b/>
          <w:szCs w:val="24"/>
        </w:rPr>
        <w:t xml:space="preserve">5.13 </w:t>
      </w:r>
      <w:r w:rsidR="0077066E" w:rsidRPr="00A062AF">
        <w:rPr>
          <w:rFonts w:cs="Arial"/>
          <w:b/>
          <w:szCs w:val="24"/>
        </w:rPr>
        <w:t>Harrow Strategic Development Partner Update (HSDP)</w:t>
      </w:r>
    </w:p>
    <w:p w14:paraId="398288D0" w14:textId="7DDEDD4E" w:rsidR="00102BB7" w:rsidRDefault="00102BB7" w:rsidP="00B665A3">
      <w:pPr>
        <w:jc w:val="both"/>
        <w:rPr>
          <w:lang w:eastAsia="en-GB"/>
        </w:rPr>
      </w:pPr>
      <w:r w:rsidRPr="00102BB7">
        <w:rPr>
          <w:lang w:eastAsia="en-GB"/>
        </w:rPr>
        <w:t>The procurement of the HSDP was paused to allow staff to focus on emergency activity across the council.  The HSDP evaluation has since restarted and moderation is planned for w/c. 15th June.  The Preferred Bidder selection has been programmed to complete over the next few months. A separate report will be brought forward at the next stage of the process</w:t>
      </w:r>
    </w:p>
    <w:p w14:paraId="3804E567" w14:textId="77777777" w:rsidR="0025451F" w:rsidRPr="00D82BEA" w:rsidRDefault="0025451F" w:rsidP="00B665A3">
      <w:pPr>
        <w:jc w:val="both"/>
        <w:rPr>
          <w:lang w:eastAsia="en-GB"/>
        </w:rPr>
      </w:pPr>
    </w:p>
    <w:p w14:paraId="2EE16401" w14:textId="77777777" w:rsidR="002D14F9" w:rsidRDefault="00093ADE" w:rsidP="00FD61BA">
      <w:pPr>
        <w:pStyle w:val="Heading2"/>
        <w:jc w:val="both"/>
        <w:rPr>
          <w:b w:val="0"/>
          <w:bCs w:val="0"/>
          <w:sz w:val="24"/>
          <w:szCs w:val="24"/>
          <w:lang w:eastAsia="en-GB"/>
        </w:rPr>
      </w:pPr>
      <w:r>
        <w:rPr>
          <w:sz w:val="24"/>
          <w:szCs w:val="24"/>
          <w:lang w:eastAsia="en-GB"/>
        </w:rPr>
        <w:t xml:space="preserve">5.14 </w:t>
      </w:r>
      <w:r w:rsidR="002D14F9" w:rsidRPr="0067321F">
        <w:rPr>
          <w:sz w:val="24"/>
          <w:szCs w:val="24"/>
          <w:lang w:eastAsia="en-GB"/>
        </w:rPr>
        <w:t>Wealdstone Regeneration Plan</w:t>
      </w:r>
      <w:r w:rsidR="002D14F9" w:rsidRPr="0067321F">
        <w:rPr>
          <w:b w:val="0"/>
          <w:bCs w:val="0"/>
          <w:sz w:val="24"/>
          <w:szCs w:val="24"/>
          <w:lang w:eastAsia="en-GB"/>
        </w:rPr>
        <w:t xml:space="preserve"> </w:t>
      </w:r>
    </w:p>
    <w:p w14:paraId="17C64E10" w14:textId="77777777" w:rsidR="002D14F9" w:rsidRPr="0067321F" w:rsidRDefault="002D14F9" w:rsidP="00FD61BA">
      <w:pPr>
        <w:jc w:val="both"/>
        <w:rPr>
          <w:lang w:eastAsia="en-GB"/>
        </w:rPr>
      </w:pPr>
      <w:r w:rsidRPr="0067321F">
        <w:rPr>
          <w:lang w:eastAsia="en-GB"/>
        </w:rPr>
        <w:t xml:space="preserve">The </w:t>
      </w:r>
      <w:r w:rsidR="00E72D57">
        <w:rPr>
          <w:lang w:eastAsia="en-GB"/>
        </w:rPr>
        <w:t>c</w:t>
      </w:r>
      <w:r w:rsidR="00E72D57" w:rsidRPr="0067321F">
        <w:rPr>
          <w:lang w:eastAsia="en-GB"/>
        </w:rPr>
        <w:t xml:space="preserve">ouncil </w:t>
      </w:r>
      <w:r w:rsidRPr="0067321F">
        <w:rPr>
          <w:lang w:eastAsia="en-GB"/>
        </w:rPr>
        <w:t>has commenced the development of a Wealdstone Regeneration Plan</w:t>
      </w:r>
      <w:r w:rsidR="001A549C">
        <w:rPr>
          <w:lang w:eastAsia="en-GB"/>
        </w:rPr>
        <w:t>.</w:t>
      </w:r>
      <w:r w:rsidRPr="0067321F">
        <w:rPr>
          <w:lang w:eastAsia="en-GB"/>
        </w:rPr>
        <w:t xml:space="preserve"> The plan outlines the </w:t>
      </w:r>
      <w:r w:rsidR="00E72D57">
        <w:rPr>
          <w:lang w:eastAsia="en-GB"/>
        </w:rPr>
        <w:t>c</w:t>
      </w:r>
      <w:r w:rsidR="00E72D57" w:rsidRPr="0067321F">
        <w:rPr>
          <w:lang w:eastAsia="en-GB"/>
        </w:rPr>
        <w:t>ouncil</w:t>
      </w:r>
      <w:r w:rsidR="00E72D57">
        <w:rPr>
          <w:lang w:eastAsia="en-GB"/>
        </w:rPr>
        <w:t>’</w:t>
      </w:r>
      <w:r w:rsidR="00E72D57" w:rsidRPr="0067321F">
        <w:rPr>
          <w:lang w:eastAsia="en-GB"/>
        </w:rPr>
        <w:t xml:space="preserve">s </w:t>
      </w:r>
      <w:r w:rsidRPr="0067321F">
        <w:rPr>
          <w:lang w:eastAsia="en-GB"/>
        </w:rPr>
        <w:t xml:space="preserve">ambition to regenerate Wealdstone and </w:t>
      </w:r>
      <w:r w:rsidR="00B27153">
        <w:rPr>
          <w:lang w:eastAsia="en-GB"/>
        </w:rPr>
        <w:t xml:space="preserve">the </w:t>
      </w:r>
      <w:r w:rsidRPr="0067321F">
        <w:rPr>
          <w:lang w:eastAsia="en-GB"/>
        </w:rPr>
        <w:t xml:space="preserve">surrounding </w:t>
      </w:r>
      <w:r w:rsidR="00B27153">
        <w:rPr>
          <w:lang w:eastAsia="en-GB"/>
        </w:rPr>
        <w:t>O</w:t>
      </w:r>
      <w:r w:rsidR="00B27153" w:rsidRPr="0067321F">
        <w:rPr>
          <w:lang w:eastAsia="en-GB"/>
        </w:rPr>
        <w:t xml:space="preserve">pportunity </w:t>
      </w:r>
      <w:r w:rsidR="00B27153">
        <w:rPr>
          <w:lang w:eastAsia="en-GB"/>
        </w:rPr>
        <w:t>A</w:t>
      </w:r>
      <w:r w:rsidR="00B27153" w:rsidRPr="0067321F">
        <w:rPr>
          <w:lang w:eastAsia="en-GB"/>
        </w:rPr>
        <w:t>rea</w:t>
      </w:r>
      <w:r w:rsidRPr="0067321F">
        <w:rPr>
          <w:lang w:eastAsia="en-GB"/>
        </w:rPr>
        <w:t xml:space="preserve">. </w:t>
      </w:r>
      <w:r w:rsidR="00093ADE">
        <w:rPr>
          <w:lang w:eastAsia="en-GB"/>
        </w:rPr>
        <w:t xml:space="preserve"> </w:t>
      </w:r>
      <w:r w:rsidRPr="0067321F">
        <w:rPr>
          <w:lang w:eastAsia="en-GB"/>
        </w:rPr>
        <w:t>The Plan currently looks at the following areas:</w:t>
      </w:r>
    </w:p>
    <w:p w14:paraId="2DAD6B2B" w14:textId="77777777" w:rsidR="002D14F9" w:rsidRPr="0067321F" w:rsidRDefault="002D14F9" w:rsidP="00FD61BA">
      <w:pPr>
        <w:jc w:val="both"/>
        <w:rPr>
          <w:lang w:eastAsia="en-GB"/>
        </w:rPr>
      </w:pPr>
    </w:p>
    <w:p w14:paraId="70F522AA" w14:textId="77777777" w:rsidR="002D14F9" w:rsidRPr="0067321F" w:rsidRDefault="002D14F9" w:rsidP="003522DF">
      <w:pPr>
        <w:numPr>
          <w:ilvl w:val="0"/>
          <w:numId w:val="1"/>
        </w:numPr>
        <w:jc w:val="both"/>
        <w:rPr>
          <w:lang w:eastAsia="en-GB"/>
        </w:rPr>
      </w:pPr>
      <w:r w:rsidRPr="0067321F">
        <w:rPr>
          <w:lang w:eastAsia="en-GB"/>
        </w:rPr>
        <w:t>Complete or underway projects</w:t>
      </w:r>
    </w:p>
    <w:p w14:paraId="073FCFFE" w14:textId="77777777" w:rsidR="002D14F9" w:rsidRPr="0067321F" w:rsidRDefault="002D14F9" w:rsidP="003522DF">
      <w:pPr>
        <w:numPr>
          <w:ilvl w:val="0"/>
          <w:numId w:val="1"/>
        </w:numPr>
        <w:jc w:val="both"/>
        <w:rPr>
          <w:lang w:eastAsia="en-GB"/>
        </w:rPr>
      </w:pPr>
      <w:r w:rsidRPr="0067321F">
        <w:rPr>
          <w:lang w:eastAsia="en-GB"/>
        </w:rPr>
        <w:t xml:space="preserve">Future areas of opportunity within Wealdstone </w:t>
      </w:r>
    </w:p>
    <w:p w14:paraId="361AFD0B" w14:textId="77777777" w:rsidR="00667FB9" w:rsidRDefault="00667FB9" w:rsidP="00FD61BA">
      <w:pPr>
        <w:jc w:val="both"/>
        <w:rPr>
          <w:lang w:eastAsia="en-GB"/>
        </w:rPr>
      </w:pPr>
    </w:p>
    <w:p w14:paraId="446A6A8F" w14:textId="77777777" w:rsidR="00E669B9" w:rsidRDefault="00D82BEA" w:rsidP="00FD61BA">
      <w:pPr>
        <w:jc w:val="both"/>
        <w:rPr>
          <w:lang w:eastAsia="en-GB"/>
        </w:rPr>
      </w:pPr>
      <w:r w:rsidRPr="00093ADE">
        <w:rPr>
          <w:i/>
          <w:lang w:eastAsia="en-GB"/>
        </w:rPr>
        <w:t>Post Lockdown:</w:t>
      </w:r>
      <w:r>
        <w:rPr>
          <w:lang w:eastAsia="en-GB"/>
        </w:rPr>
        <w:t xml:space="preserve"> </w:t>
      </w:r>
      <w:r w:rsidR="00E669B9" w:rsidRPr="0067321F">
        <w:rPr>
          <w:lang w:eastAsia="en-GB"/>
        </w:rPr>
        <w:t xml:space="preserve">The plan will transform into a Regeneration </w:t>
      </w:r>
      <w:r w:rsidR="00E669B9">
        <w:rPr>
          <w:lang w:eastAsia="en-GB"/>
        </w:rPr>
        <w:t>S</w:t>
      </w:r>
      <w:r w:rsidR="00E669B9" w:rsidRPr="0067321F">
        <w:rPr>
          <w:lang w:eastAsia="en-GB"/>
        </w:rPr>
        <w:t xml:space="preserve">trategy and will form part of the Regeneration Masterplan for Wealdstone which will be brought back to Cabinet </w:t>
      </w:r>
      <w:r w:rsidR="00E669B9">
        <w:rPr>
          <w:lang w:eastAsia="en-GB"/>
        </w:rPr>
        <w:t xml:space="preserve">at a later date </w:t>
      </w:r>
      <w:r w:rsidR="00E669B9" w:rsidRPr="0067321F">
        <w:rPr>
          <w:lang w:eastAsia="en-GB"/>
        </w:rPr>
        <w:t xml:space="preserve">for </w:t>
      </w:r>
      <w:r w:rsidR="00E669B9">
        <w:rPr>
          <w:lang w:eastAsia="en-GB"/>
        </w:rPr>
        <w:t>consideration</w:t>
      </w:r>
      <w:r w:rsidR="00E669B9" w:rsidRPr="0067321F">
        <w:rPr>
          <w:lang w:eastAsia="en-GB"/>
        </w:rPr>
        <w:t>.</w:t>
      </w:r>
      <w:r w:rsidR="00E669B9">
        <w:rPr>
          <w:lang w:eastAsia="en-GB"/>
        </w:rPr>
        <w:t xml:space="preserve"> </w:t>
      </w:r>
    </w:p>
    <w:p w14:paraId="4186C871" w14:textId="77777777" w:rsidR="004908C3" w:rsidRDefault="004908C3" w:rsidP="00FD61BA">
      <w:pPr>
        <w:jc w:val="both"/>
        <w:rPr>
          <w:b/>
          <w:lang w:eastAsia="en-GB"/>
        </w:rPr>
      </w:pPr>
    </w:p>
    <w:p w14:paraId="6AC45E61" w14:textId="77777777" w:rsidR="002D14F9" w:rsidRDefault="00093ADE" w:rsidP="00FD61BA">
      <w:pPr>
        <w:jc w:val="both"/>
        <w:rPr>
          <w:b/>
          <w:lang w:eastAsia="en-GB"/>
        </w:rPr>
      </w:pPr>
      <w:r>
        <w:rPr>
          <w:b/>
          <w:lang w:eastAsia="en-GB"/>
        </w:rPr>
        <w:t xml:space="preserve">5.15 </w:t>
      </w:r>
      <w:r w:rsidR="002D14F9" w:rsidRPr="00EF6EF4">
        <w:rPr>
          <w:b/>
          <w:lang w:eastAsia="en-GB"/>
        </w:rPr>
        <w:t>Wealdstone Square</w:t>
      </w:r>
    </w:p>
    <w:p w14:paraId="0A65AC72" w14:textId="1AAD55AC" w:rsidR="00D82BEA" w:rsidRPr="00581536" w:rsidRDefault="00CD4B09" w:rsidP="00FD61BA">
      <w:pPr>
        <w:autoSpaceDE w:val="0"/>
        <w:autoSpaceDN w:val="0"/>
        <w:jc w:val="both"/>
        <w:rPr>
          <w:lang w:eastAsia="en-GB"/>
        </w:rPr>
      </w:pPr>
      <w:r w:rsidRPr="00581536">
        <w:rPr>
          <w:lang w:eastAsia="en-GB"/>
        </w:rPr>
        <w:t>A scheme to transform the underused public space in Wealdstone</w:t>
      </w:r>
      <w:r w:rsidR="006350BC">
        <w:rPr>
          <w:lang w:eastAsia="en-GB"/>
        </w:rPr>
        <w:t>,</w:t>
      </w:r>
      <w:r w:rsidRPr="00581536">
        <w:rPr>
          <w:lang w:eastAsia="en-GB"/>
        </w:rPr>
        <w:t xml:space="preserve"> that sits between Holy Trinity Church and Subway</w:t>
      </w:r>
      <w:r w:rsidR="006350BC">
        <w:rPr>
          <w:lang w:eastAsia="en-GB"/>
        </w:rPr>
        <w:t>,</w:t>
      </w:r>
      <w:r w:rsidRPr="00581536">
        <w:rPr>
          <w:lang w:eastAsia="en-GB"/>
        </w:rPr>
        <w:t xml:space="preserve"> into a new town square</w:t>
      </w:r>
      <w:r w:rsidR="00066596">
        <w:rPr>
          <w:lang w:eastAsia="en-GB"/>
        </w:rPr>
        <w:t xml:space="preserve">. </w:t>
      </w:r>
      <w:r w:rsidR="00940860" w:rsidRPr="00940860">
        <w:t xml:space="preserve"> </w:t>
      </w:r>
      <w:r w:rsidR="004460D6">
        <w:t xml:space="preserve">The postponement of works in March 2020 has pushed </w:t>
      </w:r>
      <w:r w:rsidR="00940860">
        <w:rPr>
          <w:lang w:eastAsia="en-GB"/>
        </w:rPr>
        <w:t xml:space="preserve">expected </w:t>
      </w:r>
      <w:r w:rsidR="004460D6">
        <w:rPr>
          <w:lang w:eastAsia="en-GB"/>
        </w:rPr>
        <w:t xml:space="preserve">completion </w:t>
      </w:r>
      <w:r w:rsidR="00940860">
        <w:rPr>
          <w:lang w:eastAsia="en-GB"/>
        </w:rPr>
        <w:t xml:space="preserve">to </w:t>
      </w:r>
      <w:r w:rsidR="00940860" w:rsidRPr="00940860">
        <w:rPr>
          <w:lang w:eastAsia="en-GB"/>
        </w:rPr>
        <w:t xml:space="preserve"> Q</w:t>
      </w:r>
      <w:r w:rsidR="000B1842">
        <w:rPr>
          <w:lang w:eastAsia="en-GB"/>
        </w:rPr>
        <w:t>2</w:t>
      </w:r>
      <w:r w:rsidR="004460D6">
        <w:rPr>
          <w:lang w:eastAsia="en-GB"/>
        </w:rPr>
        <w:t xml:space="preserve"> 2020/21</w:t>
      </w:r>
      <w:r w:rsidR="00940860">
        <w:rPr>
          <w:lang w:eastAsia="en-GB"/>
        </w:rPr>
        <w:t xml:space="preserve">. </w:t>
      </w:r>
    </w:p>
    <w:p w14:paraId="799558F8" w14:textId="77777777" w:rsidR="002D14F9" w:rsidRPr="00A62728" w:rsidRDefault="002D14F9" w:rsidP="00FD61BA">
      <w:pPr>
        <w:autoSpaceDE w:val="0"/>
        <w:autoSpaceDN w:val="0"/>
        <w:jc w:val="both"/>
        <w:rPr>
          <w:lang w:eastAsia="en-GB"/>
        </w:rPr>
      </w:pPr>
    </w:p>
    <w:p w14:paraId="71830DD7" w14:textId="77777777" w:rsidR="002D14F9" w:rsidRDefault="00093ADE" w:rsidP="00FD61BA">
      <w:pPr>
        <w:jc w:val="both"/>
        <w:rPr>
          <w:rFonts w:cs="Arial"/>
          <w:b/>
          <w:bCs/>
          <w:lang w:val="en-US"/>
        </w:rPr>
      </w:pPr>
      <w:r>
        <w:rPr>
          <w:rFonts w:cs="Arial"/>
          <w:b/>
          <w:bCs/>
          <w:lang w:val="en-US"/>
        </w:rPr>
        <w:t xml:space="preserve">5.16 </w:t>
      </w:r>
      <w:r w:rsidR="002D14F9" w:rsidRPr="00A62728">
        <w:rPr>
          <w:rFonts w:cs="Arial"/>
          <w:b/>
          <w:bCs/>
          <w:lang w:val="en-US"/>
        </w:rPr>
        <w:t xml:space="preserve">Depot </w:t>
      </w:r>
      <w:r w:rsidR="006350BC">
        <w:rPr>
          <w:rFonts w:cs="Arial"/>
          <w:b/>
          <w:bCs/>
          <w:lang w:val="en-US"/>
        </w:rPr>
        <w:t>R</w:t>
      </w:r>
      <w:r w:rsidR="006350BC" w:rsidRPr="00A62728">
        <w:rPr>
          <w:rFonts w:cs="Arial"/>
          <w:b/>
          <w:bCs/>
          <w:lang w:val="en-US"/>
        </w:rPr>
        <w:t>edevelopment</w:t>
      </w:r>
      <w:r w:rsidR="00540CC0">
        <w:rPr>
          <w:rFonts w:cs="Arial"/>
          <w:b/>
          <w:bCs/>
          <w:lang w:val="en-US"/>
        </w:rPr>
        <w:t>- Forward Drive</w:t>
      </w:r>
    </w:p>
    <w:p w14:paraId="4BB6D2BD" w14:textId="77777777" w:rsidR="00093ADE" w:rsidRDefault="005D63ED" w:rsidP="00FD61BA">
      <w:pPr>
        <w:jc w:val="both"/>
        <w:rPr>
          <w:rFonts w:cs="Arial"/>
          <w:lang w:val="en-US"/>
        </w:rPr>
      </w:pPr>
      <w:r w:rsidRPr="005D63ED">
        <w:rPr>
          <w:rFonts w:cs="Arial"/>
          <w:lang w:val="en-US"/>
        </w:rPr>
        <w:t xml:space="preserve">The Planning Committee resolved to grant planning permission for the revised scheme in January 2019, subsequently approved by the GLA.  The current contractual </w:t>
      </w:r>
      <w:proofErr w:type="spellStart"/>
      <w:r w:rsidRPr="005D63ED">
        <w:rPr>
          <w:rFonts w:cs="Arial"/>
          <w:lang w:val="en-US"/>
        </w:rPr>
        <w:t>programme</w:t>
      </w:r>
      <w:proofErr w:type="spellEnd"/>
      <w:r w:rsidRPr="005D63ED">
        <w:rPr>
          <w:rFonts w:cs="Arial"/>
          <w:lang w:val="en-US"/>
        </w:rPr>
        <w:t xml:space="preserve"> will see phase 1 of the scheme completed in June 2020, with the handover of the workshops, with the new offices and multi </w:t>
      </w:r>
      <w:proofErr w:type="spellStart"/>
      <w:r w:rsidRPr="005D63ED">
        <w:rPr>
          <w:rFonts w:cs="Arial"/>
          <w:lang w:val="en-US"/>
        </w:rPr>
        <w:t>storey</w:t>
      </w:r>
      <w:proofErr w:type="spellEnd"/>
      <w:r w:rsidRPr="005D63ED">
        <w:rPr>
          <w:rFonts w:cs="Arial"/>
          <w:lang w:val="en-US"/>
        </w:rPr>
        <w:t xml:space="preserve"> car park due to be handed over in the Spring 2021. </w:t>
      </w:r>
    </w:p>
    <w:p w14:paraId="3FBF6A36" w14:textId="77777777" w:rsidR="00093ADE" w:rsidRDefault="00093ADE" w:rsidP="00FD61BA">
      <w:pPr>
        <w:jc w:val="both"/>
        <w:rPr>
          <w:rFonts w:cs="Arial"/>
          <w:lang w:val="en-US"/>
        </w:rPr>
      </w:pPr>
    </w:p>
    <w:p w14:paraId="2D5A7362" w14:textId="6FF3B990" w:rsidR="002D14F9" w:rsidRDefault="00093ADE" w:rsidP="00FD61BA">
      <w:pPr>
        <w:jc w:val="both"/>
        <w:rPr>
          <w:rFonts w:cs="Arial"/>
          <w:lang w:val="en-US"/>
        </w:rPr>
      </w:pPr>
      <w:r w:rsidRPr="00093ADE">
        <w:rPr>
          <w:rFonts w:cs="Arial"/>
          <w:i/>
          <w:lang w:val="en-US"/>
        </w:rPr>
        <w:t>Post lockdown:</w:t>
      </w:r>
      <w:r>
        <w:rPr>
          <w:rFonts w:cs="Arial"/>
          <w:lang w:val="en-US"/>
        </w:rPr>
        <w:t xml:space="preserve"> </w:t>
      </w:r>
      <w:r w:rsidR="005D63ED" w:rsidRPr="005D63ED">
        <w:rPr>
          <w:rFonts w:cs="Arial"/>
          <w:lang w:val="en-US"/>
        </w:rPr>
        <w:t xml:space="preserve">Works have </w:t>
      </w:r>
      <w:r w:rsidR="00CA229A" w:rsidRPr="005D63ED">
        <w:rPr>
          <w:rFonts w:cs="Arial"/>
          <w:lang w:val="en-US"/>
        </w:rPr>
        <w:t>continued</w:t>
      </w:r>
      <w:r w:rsidR="005D63ED" w:rsidRPr="005D63ED">
        <w:rPr>
          <w:rFonts w:cs="Arial"/>
          <w:lang w:val="en-US"/>
        </w:rPr>
        <w:t xml:space="preserve"> </w:t>
      </w:r>
      <w:r w:rsidR="00CA229A">
        <w:rPr>
          <w:rFonts w:cs="Arial"/>
          <w:lang w:val="en-US"/>
        </w:rPr>
        <w:t xml:space="preserve">on </w:t>
      </w:r>
      <w:r w:rsidR="005D63ED" w:rsidRPr="005D63ED">
        <w:rPr>
          <w:rFonts w:cs="Arial"/>
          <w:lang w:val="en-US"/>
        </w:rPr>
        <w:t>site despite COVID-19</w:t>
      </w:r>
      <w:r>
        <w:rPr>
          <w:rFonts w:cs="Arial"/>
          <w:lang w:val="en-US"/>
        </w:rPr>
        <w:t xml:space="preserve"> </w:t>
      </w:r>
      <w:r w:rsidR="005D63ED" w:rsidRPr="005D63ED">
        <w:rPr>
          <w:rFonts w:cs="Arial"/>
          <w:lang w:val="en-US"/>
        </w:rPr>
        <w:t xml:space="preserve">and are still progressing, </w:t>
      </w:r>
      <w:r>
        <w:rPr>
          <w:rFonts w:cs="Arial"/>
          <w:lang w:val="en-US"/>
        </w:rPr>
        <w:t xml:space="preserve">however, the </w:t>
      </w:r>
      <w:proofErr w:type="spellStart"/>
      <w:r w:rsidR="005D63ED" w:rsidRPr="005D63ED">
        <w:rPr>
          <w:rFonts w:cs="Arial"/>
          <w:lang w:val="en-US"/>
        </w:rPr>
        <w:t>programme</w:t>
      </w:r>
      <w:proofErr w:type="spellEnd"/>
      <w:r w:rsidR="005D63ED" w:rsidRPr="005D63ED">
        <w:rPr>
          <w:rFonts w:cs="Arial"/>
          <w:lang w:val="en-US"/>
        </w:rPr>
        <w:t xml:space="preserve"> has slowed down due to adherence to social distancing measures.</w:t>
      </w:r>
    </w:p>
    <w:p w14:paraId="0209414F" w14:textId="77777777" w:rsidR="005D63ED" w:rsidRPr="00F83920" w:rsidRDefault="005D63ED" w:rsidP="00FD61BA">
      <w:pPr>
        <w:jc w:val="both"/>
        <w:rPr>
          <w:rFonts w:cs="Arial"/>
          <w:lang w:val="en-US"/>
        </w:rPr>
      </w:pPr>
    </w:p>
    <w:p w14:paraId="381B2AD9" w14:textId="77777777" w:rsidR="002D14F9" w:rsidRDefault="00093ADE" w:rsidP="00FD61BA">
      <w:pPr>
        <w:jc w:val="both"/>
        <w:rPr>
          <w:b/>
          <w:lang w:eastAsia="en-GB"/>
        </w:rPr>
      </w:pPr>
      <w:r>
        <w:rPr>
          <w:b/>
          <w:lang w:eastAsia="en-GB"/>
        </w:rPr>
        <w:t xml:space="preserve">5.17 </w:t>
      </w:r>
      <w:r w:rsidR="002D14F9" w:rsidRPr="00A62728">
        <w:rPr>
          <w:b/>
          <w:lang w:eastAsia="en-GB"/>
        </w:rPr>
        <w:t xml:space="preserve">Gayton Road </w:t>
      </w:r>
    </w:p>
    <w:p w14:paraId="054794B0" w14:textId="77777777" w:rsidR="00093ADE" w:rsidRDefault="002D14F9" w:rsidP="00FD61BA">
      <w:pPr>
        <w:autoSpaceDE w:val="0"/>
        <w:autoSpaceDN w:val="0"/>
        <w:adjustRightInd w:val="0"/>
        <w:jc w:val="both"/>
        <w:rPr>
          <w:rFonts w:cs="Arial"/>
        </w:rPr>
      </w:pPr>
      <w:r w:rsidRPr="00581536">
        <w:rPr>
          <w:lang w:eastAsia="en-GB"/>
        </w:rPr>
        <w:t xml:space="preserve">The Gayton Road scheme </w:t>
      </w:r>
      <w:r w:rsidR="009D593E" w:rsidRPr="00581536">
        <w:rPr>
          <w:lang w:eastAsia="en-GB"/>
        </w:rPr>
        <w:t xml:space="preserve">was </w:t>
      </w:r>
      <w:r w:rsidRPr="00581536">
        <w:rPr>
          <w:lang w:eastAsia="en-GB"/>
        </w:rPr>
        <w:t xml:space="preserve">developed in partnership with Fairview New Homes (FNH). The development totals 355 homes of which </w:t>
      </w:r>
      <w:r w:rsidRPr="00581536">
        <w:rPr>
          <w:rFonts w:cs="Arial"/>
        </w:rPr>
        <w:t xml:space="preserve">230 are owned by FNH, to be sold on the open market. In accordance with the terms of the land transaction agreed with FNH, the remaining 125 units are owned by Harrow Council on a long leasehold basis. </w:t>
      </w:r>
    </w:p>
    <w:p w14:paraId="261FE3DA" w14:textId="77777777" w:rsidR="00D82BEA" w:rsidRDefault="00D82BEA" w:rsidP="00FD61BA">
      <w:pPr>
        <w:autoSpaceDE w:val="0"/>
        <w:autoSpaceDN w:val="0"/>
        <w:adjustRightInd w:val="0"/>
        <w:jc w:val="both"/>
        <w:rPr>
          <w:rFonts w:cs="Arial"/>
          <w:color w:val="000000" w:themeColor="text1"/>
        </w:rPr>
      </w:pPr>
    </w:p>
    <w:p w14:paraId="3074F9B6" w14:textId="77777777" w:rsidR="002D14F9" w:rsidRPr="00581536" w:rsidRDefault="00D82BEA" w:rsidP="00FD61BA">
      <w:pPr>
        <w:autoSpaceDE w:val="0"/>
        <w:autoSpaceDN w:val="0"/>
        <w:adjustRightInd w:val="0"/>
        <w:jc w:val="both"/>
        <w:rPr>
          <w:rFonts w:cs="Arial"/>
        </w:rPr>
      </w:pPr>
      <w:r w:rsidRPr="00093ADE">
        <w:rPr>
          <w:i/>
          <w:lang w:eastAsia="en-GB"/>
        </w:rPr>
        <w:t>Post Lockdown:</w:t>
      </w:r>
      <w:r>
        <w:rPr>
          <w:lang w:eastAsia="en-GB"/>
        </w:rPr>
        <w:t xml:space="preserve"> </w:t>
      </w:r>
      <w:r w:rsidR="009F7A74" w:rsidRPr="007C3891">
        <w:rPr>
          <w:rFonts w:cs="Arial"/>
          <w:color w:val="000000" w:themeColor="text1"/>
        </w:rPr>
        <w:t xml:space="preserve">The handover of the commercial unit was delayed due to </w:t>
      </w:r>
      <w:proofErr w:type="spellStart"/>
      <w:r w:rsidR="009F7A74" w:rsidRPr="007C3891">
        <w:rPr>
          <w:rFonts w:cs="Arial"/>
          <w:color w:val="000000" w:themeColor="text1"/>
        </w:rPr>
        <w:t>C</w:t>
      </w:r>
      <w:r w:rsidR="007C3891" w:rsidRPr="007C3891">
        <w:rPr>
          <w:rFonts w:cs="Arial"/>
          <w:color w:val="000000" w:themeColor="text1"/>
        </w:rPr>
        <w:t>ovid</w:t>
      </w:r>
      <w:proofErr w:type="spellEnd"/>
      <w:r w:rsidR="007C3891" w:rsidRPr="007C3891">
        <w:rPr>
          <w:rFonts w:cs="Arial"/>
          <w:color w:val="000000" w:themeColor="text1"/>
        </w:rPr>
        <w:t xml:space="preserve"> </w:t>
      </w:r>
      <w:r w:rsidR="009F7A74" w:rsidRPr="007C3891">
        <w:rPr>
          <w:rFonts w:cs="Arial"/>
          <w:color w:val="000000" w:themeColor="text1"/>
        </w:rPr>
        <w:t>19</w:t>
      </w:r>
      <w:r>
        <w:rPr>
          <w:rFonts w:cs="Arial"/>
          <w:color w:val="000000" w:themeColor="text1"/>
        </w:rPr>
        <w:t>. Aim f</w:t>
      </w:r>
      <w:r w:rsidR="009D38E2">
        <w:rPr>
          <w:rFonts w:cs="Arial"/>
          <w:color w:val="000000" w:themeColor="text1"/>
        </w:rPr>
        <w:t xml:space="preserve">or handover during June or July </w:t>
      </w:r>
      <w:r w:rsidR="009F7A74" w:rsidRPr="007C3891">
        <w:rPr>
          <w:rFonts w:cs="Arial"/>
          <w:color w:val="000000" w:themeColor="text1"/>
        </w:rPr>
        <w:t xml:space="preserve">depending on lockdown rules. </w:t>
      </w:r>
    </w:p>
    <w:p w14:paraId="129C9AF4" w14:textId="77777777" w:rsidR="00FE2290" w:rsidRDefault="00FE2290" w:rsidP="00FD61BA">
      <w:pPr>
        <w:jc w:val="both"/>
        <w:rPr>
          <w:b/>
          <w:lang w:eastAsia="en-GB"/>
        </w:rPr>
      </w:pPr>
    </w:p>
    <w:p w14:paraId="1CF14255" w14:textId="77777777" w:rsidR="00873866" w:rsidRDefault="00093ADE" w:rsidP="00FD61BA">
      <w:pPr>
        <w:jc w:val="both"/>
        <w:rPr>
          <w:b/>
          <w:lang w:eastAsia="en-GB"/>
        </w:rPr>
      </w:pPr>
      <w:r>
        <w:rPr>
          <w:b/>
          <w:lang w:eastAsia="en-GB"/>
        </w:rPr>
        <w:t xml:space="preserve">5.18 </w:t>
      </w:r>
      <w:r w:rsidR="002D14F9" w:rsidRPr="00873866">
        <w:rPr>
          <w:b/>
          <w:lang w:eastAsia="en-GB"/>
        </w:rPr>
        <w:t>Haslam House</w:t>
      </w:r>
      <w:r w:rsidR="001B3C9A">
        <w:rPr>
          <w:b/>
          <w:lang w:eastAsia="en-GB"/>
        </w:rPr>
        <w:t xml:space="preserve"> Redevelopment</w:t>
      </w:r>
      <w:r w:rsidR="002D14F9" w:rsidRPr="00873866">
        <w:rPr>
          <w:b/>
          <w:lang w:eastAsia="en-GB"/>
        </w:rPr>
        <w:t xml:space="preserve"> </w:t>
      </w:r>
    </w:p>
    <w:p w14:paraId="6E8A797D" w14:textId="77777777" w:rsidR="005724A5" w:rsidRDefault="009F689C" w:rsidP="00FD61BA">
      <w:pPr>
        <w:jc w:val="both"/>
        <w:rPr>
          <w:lang w:eastAsia="en-GB"/>
        </w:rPr>
      </w:pPr>
      <w:proofErr w:type="spellStart"/>
      <w:r>
        <w:t>Indecon</w:t>
      </w:r>
      <w:proofErr w:type="spellEnd"/>
      <w:r>
        <w:t xml:space="preserve"> </w:t>
      </w:r>
      <w:r w:rsidR="005724A5">
        <w:t>were</w:t>
      </w:r>
      <w:r w:rsidR="006350BC" w:rsidRPr="00EF51F2">
        <w:t xml:space="preserve"> </w:t>
      </w:r>
      <w:r w:rsidR="009D593E" w:rsidRPr="00EF51F2">
        <w:t>appointed</w:t>
      </w:r>
      <w:r>
        <w:t xml:space="preserve"> to bring forward this scheme of </w:t>
      </w:r>
      <w:r w:rsidR="006350BC">
        <w:t xml:space="preserve">nine </w:t>
      </w:r>
      <w:r>
        <w:t>new homes for private sale</w:t>
      </w:r>
      <w:r w:rsidR="009D593E" w:rsidRPr="00EF51F2">
        <w:t xml:space="preserve">. </w:t>
      </w:r>
      <w:r w:rsidR="00E22E61">
        <w:rPr>
          <w:lang w:eastAsia="en-GB"/>
        </w:rPr>
        <w:t xml:space="preserve">The </w:t>
      </w:r>
      <w:r w:rsidR="009C4F5A">
        <w:rPr>
          <w:lang w:eastAsia="en-GB"/>
        </w:rPr>
        <w:t xml:space="preserve">pre-commencement </w:t>
      </w:r>
      <w:r w:rsidR="00E22E61">
        <w:rPr>
          <w:lang w:eastAsia="en-GB"/>
        </w:rPr>
        <w:t xml:space="preserve">planning conditions have been discharged and site enabling works are </w:t>
      </w:r>
      <w:r w:rsidR="009C4F5A">
        <w:rPr>
          <w:lang w:eastAsia="en-GB"/>
        </w:rPr>
        <w:t>complete</w:t>
      </w:r>
      <w:r w:rsidR="00E22E61">
        <w:rPr>
          <w:lang w:eastAsia="en-GB"/>
        </w:rPr>
        <w:t xml:space="preserve">. </w:t>
      </w:r>
    </w:p>
    <w:p w14:paraId="51639C9B" w14:textId="77777777" w:rsidR="005724A5" w:rsidRDefault="005724A5" w:rsidP="00FD61BA">
      <w:pPr>
        <w:jc w:val="both"/>
        <w:rPr>
          <w:lang w:eastAsia="en-GB"/>
        </w:rPr>
      </w:pPr>
    </w:p>
    <w:p w14:paraId="757BCB3C" w14:textId="77777777" w:rsidR="009C4F5A" w:rsidRDefault="005724A5" w:rsidP="00FD61BA">
      <w:pPr>
        <w:jc w:val="both"/>
        <w:rPr>
          <w:lang w:eastAsia="en-GB"/>
        </w:rPr>
      </w:pPr>
      <w:r w:rsidRPr="00093ADE">
        <w:rPr>
          <w:i/>
          <w:lang w:eastAsia="en-GB"/>
        </w:rPr>
        <w:t>Post lockdown</w:t>
      </w:r>
      <w:r w:rsidR="00093ADE" w:rsidRPr="00093ADE">
        <w:rPr>
          <w:i/>
          <w:lang w:eastAsia="en-GB"/>
        </w:rPr>
        <w:t>:</w:t>
      </w:r>
      <w:r w:rsidR="00093ADE">
        <w:rPr>
          <w:lang w:eastAsia="en-GB"/>
        </w:rPr>
        <w:t xml:space="preserve"> </w:t>
      </w:r>
      <w:r w:rsidR="009C4F5A">
        <w:rPr>
          <w:lang w:eastAsia="en-GB"/>
        </w:rPr>
        <w:t xml:space="preserve">The site has closed </w:t>
      </w:r>
      <w:r w:rsidR="00C65655">
        <w:rPr>
          <w:lang w:eastAsia="en-GB"/>
        </w:rPr>
        <w:t xml:space="preserve">temporarily </w:t>
      </w:r>
      <w:r w:rsidR="007C3891">
        <w:rPr>
          <w:lang w:eastAsia="en-GB"/>
        </w:rPr>
        <w:t xml:space="preserve">due to </w:t>
      </w:r>
      <w:proofErr w:type="spellStart"/>
      <w:r w:rsidR="007C3891">
        <w:rPr>
          <w:lang w:eastAsia="en-GB"/>
        </w:rPr>
        <w:t>Covid</w:t>
      </w:r>
      <w:proofErr w:type="spellEnd"/>
      <w:r w:rsidR="007C3891">
        <w:rPr>
          <w:lang w:eastAsia="en-GB"/>
        </w:rPr>
        <w:t xml:space="preserve"> </w:t>
      </w:r>
      <w:r w:rsidR="009C4F5A">
        <w:rPr>
          <w:lang w:eastAsia="en-GB"/>
        </w:rPr>
        <w:t xml:space="preserve">19.  The piling is due to commence mid June followed by drainage and in ground works. </w:t>
      </w:r>
      <w:r w:rsidR="009F689C">
        <w:rPr>
          <w:lang w:eastAsia="en-GB"/>
        </w:rPr>
        <w:t xml:space="preserve">The project is </w:t>
      </w:r>
      <w:r>
        <w:rPr>
          <w:lang w:eastAsia="en-GB"/>
        </w:rPr>
        <w:t xml:space="preserve">now </w:t>
      </w:r>
      <w:r w:rsidR="009F689C">
        <w:rPr>
          <w:lang w:eastAsia="en-GB"/>
        </w:rPr>
        <w:t xml:space="preserve">expected to complete in </w:t>
      </w:r>
      <w:r>
        <w:rPr>
          <w:lang w:eastAsia="en-GB"/>
        </w:rPr>
        <w:t xml:space="preserve">May </w:t>
      </w:r>
      <w:r w:rsidR="009F689C">
        <w:rPr>
          <w:lang w:eastAsia="en-GB"/>
        </w:rPr>
        <w:t>2021</w:t>
      </w:r>
      <w:r w:rsidR="009C4F5A">
        <w:rPr>
          <w:lang w:eastAsia="en-GB"/>
        </w:rPr>
        <w:t xml:space="preserve"> </w:t>
      </w:r>
      <w:r>
        <w:rPr>
          <w:lang w:eastAsia="en-GB"/>
        </w:rPr>
        <w:t xml:space="preserve">however, this </w:t>
      </w:r>
      <w:r w:rsidR="009C4F5A">
        <w:rPr>
          <w:lang w:eastAsia="en-GB"/>
        </w:rPr>
        <w:t>is current</w:t>
      </w:r>
      <w:r w:rsidR="007C3891">
        <w:rPr>
          <w:lang w:eastAsia="en-GB"/>
        </w:rPr>
        <w:t xml:space="preserve">ly being reviewed in light of </w:t>
      </w:r>
      <w:proofErr w:type="spellStart"/>
      <w:r w:rsidR="007C3891">
        <w:rPr>
          <w:lang w:eastAsia="en-GB"/>
        </w:rPr>
        <w:t>Covid</w:t>
      </w:r>
      <w:proofErr w:type="spellEnd"/>
      <w:r w:rsidR="007C3891">
        <w:rPr>
          <w:lang w:eastAsia="en-GB"/>
        </w:rPr>
        <w:t xml:space="preserve"> </w:t>
      </w:r>
      <w:r w:rsidR="009C4F5A">
        <w:rPr>
          <w:lang w:eastAsia="en-GB"/>
        </w:rPr>
        <w:t>19</w:t>
      </w:r>
      <w:r w:rsidR="002D14F9" w:rsidRPr="00EF51F2">
        <w:rPr>
          <w:lang w:eastAsia="en-GB"/>
        </w:rPr>
        <w:t>.</w:t>
      </w:r>
      <w:r w:rsidR="009C4F5A">
        <w:rPr>
          <w:lang w:eastAsia="en-GB"/>
        </w:rPr>
        <w:t xml:space="preserve"> The programme </w:t>
      </w:r>
      <w:r>
        <w:rPr>
          <w:lang w:eastAsia="en-GB"/>
        </w:rPr>
        <w:t xml:space="preserve">will most likely </w:t>
      </w:r>
      <w:r w:rsidR="009C4F5A">
        <w:rPr>
          <w:lang w:eastAsia="en-GB"/>
        </w:rPr>
        <w:t>be extended due to working restrictions given the tight proximity of the site</w:t>
      </w:r>
      <w:r>
        <w:rPr>
          <w:lang w:eastAsia="en-GB"/>
        </w:rPr>
        <w:t xml:space="preserve"> and to adhere with social distancing guidance</w:t>
      </w:r>
      <w:r w:rsidR="009C4F5A">
        <w:rPr>
          <w:lang w:eastAsia="en-GB"/>
        </w:rPr>
        <w:t xml:space="preserve">. </w:t>
      </w:r>
    </w:p>
    <w:p w14:paraId="2930B057" w14:textId="77777777" w:rsidR="00EF6736" w:rsidRDefault="00EF6736" w:rsidP="00FD61BA">
      <w:pPr>
        <w:jc w:val="both"/>
        <w:rPr>
          <w:lang w:eastAsia="en-GB"/>
        </w:rPr>
      </w:pPr>
    </w:p>
    <w:p w14:paraId="4BE9B0AD" w14:textId="77777777" w:rsidR="002D14F9" w:rsidRDefault="00093ADE" w:rsidP="00FD61BA">
      <w:pPr>
        <w:kinsoku w:val="0"/>
        <w:overflowPunct w:val="0"/>
        <w:spacing w:before="82"/>
        <w:jc w:val="both"/>
        <w:textAlignment w:val="baseline"/>
        <w:rPr>
          <w:b/>
          <w:lang w:eastAsia="en-GB"/>
        </w:rPr>
      </w:pPr>
      <w:r>
        <w:rPr>
          <w:b/>
          <w:lang w:eastAsia="en-GB"/>
        </w:rPr>
        <w:lastRenderedPageBreak/>
        <w:t xml:space="preserve">5.19 </w:t>
      </w:r>
      <w:proofErr w:type="spellStart"/>
      <w:r w:rsidR="002D14F9" w:rsidRPr="00A62728">
        <w:rPr>
          <w:b/>
          <w:lang w:eastAsia="en-GB"/>
        </w:rPr>
        <w:t>Waxwell</w:t>
      </w:r>
      <w:proofErr w:type="spellEnd"/>
      <w:r w:rsidR="002D14F9" w:rsidRPr="00A62728">
        <w:rPr>
          <w:b/>
          <w:lang w:eastAsia="en-GB"/>
        </w:rPr>
        <w:t xml:space="preserve"> Lane </w:t>
      </w:r>
      <w:r w:rsidR="001B3C9A">
        <w:rPr>
          <w:b/>
          <w:lang w:eastAsia="en-GB"/>
        </w:rPr>
        <w:t>Redevelopment</w:t>
      </w:r>
    </w:p>
    <w:p w14:paraId="5F2BCA17" w14:textId="77777777" w:rsidR="00D82BEA" w:rsidRDefault="002D14F9" w:rsidP="00FD61BA">
      <w:pPr>
        <w:jc w:val="both"/>
        <w:rPr>
          <w:lang w:eastAsia="en-GB"/>
        </w:rPr>
      </w:pPr>
      <w:r w:rsidRPr="00EF51F2">
        <w:rPr>
          <w:lang w:eastAsia="en-GB"/>
        </w:rPr>
        <w:t>The scheme plans the construction of 20 houses (</w:t>
      </w:r>
      <w:r w:rsidR="006350BC">
        <w:rPr>
          <w:lang w:eastAsia="en-GB"/>
        </w:rPr>
        <w:t>two</w:t>
      </w:r>
      <w:r w:rsidR="006350BC" w:rsidRPr="00EF51F2">
        <w:rPr>
          <w:lang w:eastAsia="en-GB"/>
        </w:rPr>
        <w:t xml:space="preserve"> </w:t>
      </w:r>
      <w:r w:rsidRPr="00EF51F2">
        <w:rPr>
          <w:lang w:eastAsia="en-GB"/>
        </w:rPr>
        <w:t>of which are affordable</w:t>
      </w:r>
      <w:r w:rsidR="001B3C9A">
        <w:rPr>
          <w:lang w:eastAsia="en-GB"/>
        </w:rPr>
        <w:t xml:space="preserve"> rent</w:t>
      </w:r>
      <w:r w:rsidRPr="00EF51F2">
        <w:rPr>
          <w:lang w:eastAsia="en-GB"/>
        </w:rPr>
        <w:t xml:space="preserve"> and </w:t>
      </w:r>
      <w:r w:rsidR="006350BC">
        <w:rPr>
          <w:lang w:eastAsia="en-GB"/>
        </w:rPr>
        <w:t>two</w:t>
      </w:r>
      <w:r w:rsidR="006350BC" w:rsidRPr="00EF51F2">
        <w:rPr>
          <w:lang w:eastAsia="en-GB"/>
        </w:rPr>
        <w:t xml:space="preserve"> </w:t>
      </w:r>
      <w:r w:rsidRPr="00EF51F2">
        <w:rPr>
          <w:lang w:eastAsia="en-GB"/>
        </w:rPr>
        <w:t xml:space="preserve">shared ownership) at </w:t>
      </w:r>
      <w:proofErr w:type="spellStart"/>
      <w:r w:rsidRPr="00EF51F2">
        <w:rPr>
          <w:lang w:eastAsia="en-GB"/>
        </w:rPr>
        <w:t>Waxwell</w:t>
      </w:r>
      <w:proofErr w:type="spellEnd"/>
      <w:r w:rsidRPr="00EF51F2">
        <w:rPr>
          <w:lang w:eastAsia="en-GB"/>
        </w:rPr>
        <w:t xml:space="preserve"> Lane</w:t>
      </w:r>
      <w:r w:rsidR="006350BC">
        <w:rPr>
          <w:lang w:eastAsia="en-GB"/>
        </w:rPr>
        <w:t xml:space="preserve"> and</w:t>
      </w:r>
      <w:r w:rsidRPr="00EF51F2">
        <w:rPr>
          <w:lang w:eastAsia="en-GB"/>
        </w:rPr>
        <w:t xml:space="preserve"> </w:t>
      </w:r>
      <w:proofErr w:type="spellStart"/>
      <w:r w:rsidR="001B3C9A">
        <w:rPr>
          <w:lang w:eastAsia="en-GB"/>
        </w:rPr>
        <w:t>Claritas</w:t>
      </w:r>
      <w:proofErr w:type="spellEnd"/>
      <w:r w:rsidR="001B3C9A">
        <w:rPr>
          <w:lang w:eastAsia="en-GB"/>
        </w:rPr>
        <w:t xml:space="preserve"> (formerly </w:t>
      </w:r>
      <w:r w:rsidR="009F689C">
        <w:rPr>
          <w:lang w:eastAsia="en-GB"/>
        </w:rPr>
        <w:t>AMCM</w:t>
      </w:r>
      <w:r w:rsidR="001B3C9A">
        <w:rPr>
          <w:lang w:eastAsia="en-GB"/>
        </w:rPr>
        <w:t>)</w:t>
      </w:r>
      <w:r w:rsidR="009F689C">
        <w:rPr>
          <w:lang w:eastAsia="en-GB"/>
        </w:rPr>
        <w:t xml:space="preserve"> have been appointed as the contractor to deliver the project. </w:t>
      </w:r>
      <w:proofErr w:type="spellStart"/>
      <w:r w:rsidR="001B3C9A">
        <w:rPr>
          <w:lang w:eastAsia="en-GB"/>
        </w:rPr>
        <w:t>Claritas</w:t>
      </w:r>
      <w:proofErr w:type="spellEnd"/>
      <w:r w:rsidR="001B3C9A">
        <w:rPr>
          <w:lang w:eastAsia="en-GB"/>
        </w:rPr>
        <w:t xml:space="preserve"> </w:t>
      </w:r>
      <w:r w:rsidR="009C4F5A">
        <w:rPr>
          <w:lang w:eastAsia="en-GB"/>
        </w:rPr>
        <w:t xml:space="preserve">commenced on site in January 2020 and to date have completed the piling work, laid the drainage and are about to complete the groundwork, ready for the bricklayers to commence early June.   </w:t>
      </w:r>
    </w:p>
    <w:p w14:paraId="2DF4CE1E" w14:textId="77777777" w:rsidR="00D82BEA" w:rsidRDefault="00D82BEA" w:rsidP="00FD61BA">
      <w:pPr>
        <w:jc w:val="both"/>
        <w:rPr>
          <w:lang w:eastAsia="en-GB"/>
        </w:rPr>
      </w:pPr>
    </w:p>
    <w:p w14:paraId="23940EBF" w14:textId="77777777" w:rsidR="003A6A6D" w:rsidRPr="00DA39EB" w:rsidRDefault="00D82BEA" w:rsidP="00FD61BA">
      <w:pPr>
        <w:jc w:val="both"/>
        <w:rPr>
          <w:lang w:eastAsia="en-GB"/>
        </w:rPr>
      </w:pPr>
      <w:r w:rsidRPr="00093ADE">
        <w:rPr>
          <w:i/>
          <w:lang w:eastAsia="en-GB"/>
        </w:rPr>
        <w:t>Post Lockdown:</w:t>
      </w:r>
      <w:r>
        <w:rPr>
          <w:lang w:eastAsia="en-GB"/>
        </w:rPr>
        <w:t xml:space="preserve"> </w:t>
      </w:r>
      <w:r w:rsidR="009C4F5A">
        <w:rPr>
          <w:lang w:eastAsia="en-GB"/>
        </w:rPr>
        <w:t>The site closed f</w:t>
      </w:r>
      <w:r w:rsidR="007C3891">
        <w:rPr>
          <w:lang w:eastAsia="en-GB"/>
        </w:rPr>
        <w:t xml:space="preserve">or four weeks in April due to </w:t>
      </w:r>
      <w:proofErr w:type="spellStart"/>
      <w:r w:rsidR="007C3891">
        <w:rPr>
          <w:lang w:eastAsia="en-GB"/>
        </w:rPr>
        <w:t>Covid</w:t>
      </w:r>
      <w:proofErr w:type="spellEnd"/>
      <w:r w:rsidR="007C3891">
        <w:rPr>
          <w:lang w:eastAsia="en-GB"/>
        </w:rPr>
        <w:t xml:space="preserve"> </w:t>
      </w:r>
      <w:r w:rsidR="009C4F5A">
        <w:rPr>
          <w:lang w:eastAsia="en-GB"/>
        </w:rPr>
        <w:t>19 and so the programme is currently being revi</w:t>
      </w:r>
      <w:r w:rsidR="007C3891">
        <w:rPr>
          <w:lang w:eastAsia="en-GB"/>
        </w:rPr>
        <w:t xml:space="preserve">ewed to confirm the impact of </w:t>
      </w:r>
      <w:proofErr w:type="spellStart"/>
      <w:r w:rsidR="007C3891">
        <w:rPr>
          <w:lang w:eastAsia="en-GB"/>
        </w:rPr>
        <w:t>Covid</w:t>
      </w:r>
      <w:proofErr w:type="spellEnd"/>
      <w:r w:rsidR="007C3891">
        <w:rPr>
          <w:lang w:eastAsia="en-GB"/>
        </w:rPr>
        <w:t xml:space="preserve"> </w:t>
      </w:r>
      <w:r w:rsidR="009C4F5A">
        <w:rPr>
          <w:lang w:eastAsia="en-GB"/>
        </w:rPr>
        <w:t xml:space="preserve">19 on the completion of the project. </w:t>
      </w:r>
    </w:p>
    <w:p w14:paraId="0206718F" w14:textId="77777777" w:rsidR="00873866" w:rsidRDefault="00873866" w:rsidP="00FD61BA">
      <w:pPr>
        <w:jc w:val="both"/>
        <w:rPr>
          <w:b/>
          <w:lang w:eastAsia="en-GB"/>
        </w:rPr>
      </w:pPr>
    </w:p>
    <w:p w14:paraId="4C3F28F4" w14:textId="77777777" w:rsidR="00D7237B" w:rsidRDefault="00093ADE" w:rsidP="00FD61BA">
      <w:pPr>
        <w:jc w:val="both"/>
        <w:rPr>
          <w:b/>
          <w:lang w:eastAsia="en-GB"/>
        </w:rPr>
      </w:pPr>
      <w:r>
        <w:rPr>
          <w:b/>
          <w:lang w:eastAsia="en-GB"/>
        </w:rPr>
        <w:t xml:space="preserve">5.20 </w:t>
      </w:r>
      <w:r w:rsidR="00D7237B" w:rsidRPr="00685C7B">
        <w:rPr>
          <w:b/>
          <w:lang w:eastAsia="en-GB"/>
        </w:rPr>
        <w:t>Plot S</w:t>
      </w:r>
    </w:p>
    <w:p w14:paraId="2E1306B7" w14:textId="77777777" w:rsidR="008B2B29" w:rsidRDefault="006113B0" w:rsidP="00FD61BA">
      <w:pPr>
        <w:jc w:val="both"/>
        <w:rPr>
          <w:lang w:eastAsia="en-GB"/>
        </w:rPr>
      </w:pPr>
      <w:r w:rsidRPr="006113B0">
        <w:rPr>
          <w:lang w:eastAsia="en-GB"/>
        </w:rPr>
        <w:t>Plot S</w:t>
      </w:r>
      <w:r w:rsidR="00093ADE">
        <w:rPr>
          <w:lang w:eastAsia="en-GB"/>
        </w:rPr>
        <w:t xml:space="preserve"> is </w:t>
      </w:r>
      <w:r w:rsidRPr="006113B0">
        <w:rPr>
          <w:lang w:eastAsia="en-GB"/>
        </w:rPr>
        <w:t xml:space="preserve">a standalone plot outside </w:t>
      </w:r>
      <w:r w:rsidR="00093ADE">
        <w:rPr>
          <w:lang w:eastAsia="en-GB"/>
        </w:rPr>
        <w:t>Poets Corner outside the remit of Harrow S</w:t>
      </w:r>
      <w:r w:rsidRPr="006113B0">
        <w:rPr>
          <w:lang w:eastAsia="en-GB"/>
        </w:rPr>
        <w:t>trategic Development Partnership</w:t>
      </w:r>
      <w:r w:rsidR="00093ADE">
        <w:rPr>
          <w:lang w:eastAsia="en-GB"/>
        </w:rPr>
        <w:t xml:space="preserve">.  This project </w:t>
      </w:r>
      <w:r w:rsidR="001B3C9A">
        <w:rPr>
          <w:lang w:eastAsia="en-GB"/>
        </w:rPr>
        <w:t xml:space="preserve">aims to deliver over 30 new homes for affordable housing </w:t>
      </w:r>
      <w:r w:rsidR="00D82BEA">
        <w:rPr>
          <w:lang w:eastAsia="en-GB"/>
        </w:rPr>
        <w:t xml:space="preserve">which are funded by the GLA </w:t>
      </w:r>
      <w:r w:rsidR="001B3C9A">
        <w:rPr>
          <w:lang w:eastAsia="en-GB"/>
        </w:rPr>
        <w:t>and a corner retail plot on the ground floor. The site is</w:t>
      </w:r>
      <w:r w:rsidRPr="006113B0">
        <w:rPr>
          <w:lang w:eastAsia="en-GB"/>
        </w:rPr>
        <w:t xml:space="preserve"> currently occupied by Civic 9 and a staff car park. A business case has been </w:t>
      </w:r>
      <w:r w:rsidR="00F667FD">
        <w:rPr>
          <w:lang w:eastAsia="en-GB"/>
        </w:rPr>
        <w:t>approved</w:t>
      </w:r>
      <w:r w:rsidRPr="006113B0">
        <w:rPr>
          <w:lang w:eastAsia="en-GB"/>
        </w:rPr>
        <w:t xml:space="preserve"> </w:t>
      </w:r>
      <w:r w:rsidR="00F667FD">
        <w:rPr>
          <w:lang w:eastAsia="en-GB"/>
        </w:rPr>
        <w:t xml:space="preserve">by </w:t>
      </w:r>
      <w:r w:rsidRPr="006113B0">
        <w:rPr>
          <w:lang w:eastAsia="en-GB"/>
        </w:rPr>
        <w:t>Housing Regeneration P</w:t>
      </w:r>
      <w:r w:rsidR="00F667FD">
        <w:rPr>
          <w:lang w:eastAsia="en-GB"/>
        </w:rPr>
        <w:t xml:space="preserve">rogramme Board and </w:t>
      </w:r>
      <w:r w:rsidRPr="006113B0">
        <w:rPr>
          <w:lang w:eastAsia="en-GB"/>
        </w:rPr>
        <w:t>Capital Forum</w:t>
      </w:r>
      <w:r w:rsidR="009C4F5A">
        <w:rPr>
          <w:lang w:eastAsia="en-GB"/>
        </w:rPr>
        <w:t>.  Pro</w:t>
      </w:r>
      <w:r w:rsidRPr="006113B0">
        <w:rPr>
          <w:lang w:eastAsia="en-GB"/>
        </w:rPr>
        <w:t xml:space="preserve">curement of a design team </w:t>
      </w:r>
      <w:r w:rsidR="009C4F5A">
        <w:rPr>
          <w:lang w:eastAsia="en-GB"/>
        </w:rPr>
        <w:t xml:space="preserve">has commenced with nine bids being received. A design team will be appointed by the </w:t>
      </w:r>
      <w:r w:rsidR="00FB6CCE">
        <w:rPr>
          <w:lang w:eastAsia="en-GB"/>
        </w:rPr>
        <w:t>mid June</w:t>
      </w:r>
      <w:r w:rsidR="009C4F5A">
        <w:rPr>
          <w:lang w:eastAsia="en-GB"/>
        </w:rPr>
        <w:t xml:space="preserve"> and work will begin in earnest </w:t>
      </w:r>
      <w:r w:rsidRPr="006113B0">
        <w:rPr>
          <w:lang w:eastAsia="en-GB"/>
        </w:rPr>
        <w:t>to</w:t>
      </w:r>
      <w:r w:rsidR="00F667FD">
        <w:rPr>
          <w:lang w:eastAsia="en-GB"/>
        </w:rPr>
        <w:t xml:space="preserve"> develop proposals</w:t>
      </w:r>
      <w:r w:rsidRPr="006113B0">
        <w:rPr>
          <w:lang w:eastAsia="en-GB"/>
        </w:rPr>
        <w:t>.</w:t>
      </w:r>
      <w:r w:rsidR="00F667FD">
        <w:rPr>
          <w:lang w:eastAsia="en-GB"/>
        </w:rPr>
        <w:t xml:space="preserve">  </w:t>
      </w:r>
      <w:r w:rsidR="001B3C9A" w:rsidRPr="00BD7DCD">
        <w:rPr>
          <w:lang w:eastAsia="en-GB"/>
        </w:rPr>
        <w:t>The construction phase of this project will need to be programmed closely with the wider Poets Corner development to ensure realignment of Milton Road which provides the critical space needed to bring this site forward.</w:t>
      </w:r>
      <w:r w:rsidR="001B3C9A">
        <w:rPr>
          <w:lang w:eastAsia="en-GB"/>
        </w:rPr>
        <w:t xml:space="preserve"> </w:t>
      </w:r>
    </w:p>
    <w:p w14:paraId="2AF55E71" w14:textId="77777777" w:rsidR="008B2B29" w:rsidRDefault="008B2B29" w:rsidP="00FD61BA">
      <w:pPr>
        <w:jc w:val="both"/>
        <w:rPr>
          <w:lang w:eastAsia="en-GB"/>
        </w:rPr>
      </w:pPr>
    </w:p>
    <w:p w14:paraId="2234E53A" w14:textId="77777777" w:rsidR="006113B0" w:rsidRPr="008B2B29" w:rsidRDefault="008B2B29" w:rsidP="00FD61BA">
      <w:pPr>
        <w:jc w:val="both"/>
        <w:rPr>
          <w:i/>
          <w:lang w:eastAsia="en-GB"/>
        </w:rPr>
      </w:pPr>
      <w:r w:rsidRPr="008B2B29">
        <w:rPr>
          <w:i/>
          <w:lang w:eastAsia="en-GB"/>
        </w:rPr>
        <w:t xml:space="preserve">No impact by </w:t>
      </w:r>
      <w:r>
        <w:rPr>
          <w:i/>
          <w:lang w:eastAsia="en-GB"/>
        </w:rPr>
        <w:t xml:space="preserve">lockdown </w:t>
      </w:r>
      <w:r w:rsidR="001B3C9A" w:rsidRPr="008B2B29">
        <w:rPr>
          <w:i/>
          <w:lang w:eastAsia="en-GB"/>
        </w:rPr>
        <w:t xml:space="preserve"> </w:t>
      </w:r>
    </w:p>
    <w:p w14:paraId="624AA32E" w14:textId="77777777" w:rsidR="00D84B4C" w:rsidRDefault="00D84B4C" w:rsidP="00FD61BA">
      <w:pPr>
        <w:jc w:val="both"/>
        <w:rPr>
          <w:lang w:eastAsia="en-GB"/>
        </w:rPr>
      </w:pPr>
    </w:p>
    <w:p w14:paraId="646315FE" w14:textId="77777777" w:rsidR="002D14F9" w:rsidRDefault="008B2B29" w:rsidP="00FD61BA">
      <w:pPr>
        <w:jc w:val="both"/>
        <w:rPr>
          <w:b/>
          <w:lang w:eastAsia="en-GB"/>
        </w:rPr>
      </w:pPr>
      <w:r>
        <w:rPr>
          <w:b/>
          <w:lang w:eastAsia="en-GB"/>
        </w:rPr>
        <w:t xml:space="preserve">5.21 </w:t>
      </w:r>
      <w:r w:rsidR="002D14F9" w:rsidRPr="00A62728">
        <w:rPr>
          <w:b/>
          <w:lang w:eastAsia="en-GB"/>
        </w:rPr>
        <w:t xml:space="preserve">Greenhill Way </w:t>
      </w:r>
    </w:p>
    <w:p w14:paraId="484F9BE5" w14:textId="77777777" w:rsidR="003B3B3C" w:rsidRDefault="00E669B9" w:rsidP="00FD61BA">
      <w:pPr>
        <w:jc w:val="both"/>
        <w:rPr>
          <w:rFonts w:cs="Arial"/>
          <w:kern w:val="24"/>
          <w:szCs w:val="24"/>
          <w:lang w:eastAsia="en-GB"/>
        </w:rPr>
      </w:pPr>
      <w:r w:rsidRPr="00A62728">
        <w:rPr>
          <w:rFonts w:cs="Arial"/>
          <w:szCs w:val="24"/>
        </w:rPr>
        <w:t xml:space="preserve">Greenhill Way is an operational town centre car park that </w:t>
      </w:r>
      <w:r>
        <w:rPr>
          <w:rFonts w:cs="Arial"/>
          <w:szCs w:val="24"/>
        </w:rPr>
        <w:t xml:space="preserve">is </w:t>
      </w:r>
      <w:r w:rsidRPr="00A62728">
        <w:rPr>
          <w:rFonts w:cs="Arial"/>
          <w:szCs w:val="24"/>
        </w:rPr>
        <w:t>currently underutilised. The site backs onto the Debenhams store. The Regeneration Programme review found that the proposals for Greenhill Way are in the earliest stage of design development</w:t>
      </w:r>
      <w:r>
        <w:rPr>
          <w:rFonts w:cs="Arial"/>
          <w:szCs w:val="24"/>
        </w:rPr>
        <w:t>,</w:t>
      </w:r>
      <w:r w:rsidRPr="00A62728">
        <w:rPr>
          <w:rFonts w:cs="Arial"/>
          <w:szCs w:val="24"/>
        </w:rPr>
        <w:t xml:space="preserve"> looking at potential uses for the site such as: </w:t>
      </w:r>
      <w:r w:rsidRPr="00A62728">
        <w:rPr>
          <w:rFonts w:cs="Arial"/>
          <w:kern w:val="24"/>
          <w:szCs w:val="24"/>
          <w:lang w:eastAsia="en-GB"/>
        </w:rPr>
        <w:t>retail, student, residential or hotel.</w:t>
      </w:r>
      <w:r w:rsidRPr="00A62728">
        <w:rPr>
          <w:rFonts w:cs="Arial"/>
          <w:szCs w:val="24"/>
        </w:rPr>
        <w:t xml:space="preserve"> </w:t>
      </w:r>
      <w:r w:rsidRPr="00A62728">
        <w:rPr>
          <w:rFonts w:cs="Arial"/>
          <w:kern w:val="24"/>
          <w:szCs w:val="24"/>
          <w:lang w:eastAsia="en-GB"/>
        </w:rPr>
        <w:t xml:space="preserve">The Regeneration Review has suggested that the </w:t>
      </w:r>
      <w:r>
        <w:rPr>
          <w:rFonts w:cs="Arial"/>
          <w:kern w:val="24"/>
          <w:szCs w:val="24"/>
          <w:lang w:eastAsia="en-GB"/>
        </w:rPr>
        <w:t>c</w:t>
      </w:r>
      <w:r w:rsidRPr="00A62728">
        <w:rPr>
          <w:rFonts w:cs="Arial"/>
          <w:kern w:val="24"/>
          <w:szCs w:val="24"/>
          <w:lang w:eastAsia="en-GB"/>
        </w:rPr>
        <w:t xml:space="preserve">ouncil reviews the potential project options and explores the proposals outlining </w:t>
      </w:r>
      <w:r>
        <w:rPr>
          <w:rFonts w:cs="Arial"/>
          <w:kern w:val="24"/>
          <w:szCs w:val="24"/>
          <w:lang w:eastAsia="en-GB"/>
        </w:rPr>
        <w:t xml:space="preserve">the </w:t>
      </w:r>
      <w:r w:rsidRPr="00A62728">
        <w:rPr>
          <w:rFonts w:cs="Arial"/>
          <w:kern w:val="24"/>
          <w:szCs w:val="24"/>
          <w:lang w:eastAsia="en-GB"/>
        </w:rPr>
        <w:t>pros and cons for future development making best use of the site. The</w:t>
      </w:r>
      <w:r>
        <w:rPr>
          <w:rFonts w:cs="Arial"/>
          <w:kern w:val="24"/>
          <w:szCs w:val="24"/>
          <w:lang w:eastAsia="en-GB"/>
        </w:rPr>
        <w:t xml:space="preserve"> council</w:t>
      </w:r>
      <w:r w:rsidRPr="00A62728">
        <w:rPr>
          <w:rFonts w:cs="Arial"/>
          <w:kern w:val="24"/>
          <w:szCs w:val="24"/>
          <w:lang w:eastAsia="en-GB"/>
        </w:rPr>
        <w:t xml:space="preserve"> considered that Greenhill Way is a good centrally located site </w:t>
      </w:r>
      <w:r>
        <w:rPr>
          <w:rFonts w:cs="Arial"/>
          <w:kern w:val="24"/>
          <w:szCs w:val="24"/>
          <w:lang w:eastAsia="en-GB"/>
        </w:rPr>
        <w:t xml:space="preserve">which </w:t>
      </w:r>
      <w:r w:rsidRPr="00A62728">
        <w:rPr>
          <w:rFonts w:cs="Arial"/>
          <w:kern w:val="24"/>
          <w:szCs w:val="24"/>
          <w:lang w:eastAsia="en-GB"/>
        </w:rPr>
        <w:t>would gain the interest of a Joint Venture</w:t>
      </w:r>
      <w:r>
        <w:rPr>
          <w:rFonts w:cs="Arial"/>
          <w:kern w:val="24"/>
          <w:szCs w:val="24"/>
          <w:lang w:eastAsia="en-GB"/>
        </w:rPr>
        <w:t xml:space="preserve"> Partner or a Development Agreement. </w:t>
      </w:r>
      <w:r w:rsidRPr="00A62728">
        <w:rPr>
          <w:rFonts w:cs="Arial"/>
          <w:kern w:val="24"/>
          <w:szCs w:val="24"/>
          <w:lang w:eastAsia="en-GB"/>
        </w:rPr>
        <w:t xml:space="preserve"> </w:t>
      </w:r>
    </w:p>
    <w:p w14:paraId="311C8C3D" w14:textId="77777777" w:rsidR="003B3B3C" w:rsidRDefault="003B3B3C" w:rsidP="00FD61BA">
      <w:pPr>
        <w:jc w:val="both"/>
        <w:rPr>
          <w:rFonts w:cs="Arial"/>
          <w:kern w:val="24"/>
          <w:szCs w:val="24"/>
          <w:lang w:eastAsia="en-GB"/>
        </w:rPr>
      </w:pPr>
    </w:p>
    <w:p w14:paraId="2F3CD727" w14:textId="77777777" w:rsidR="00E669B9" w:rsidRDefault="003B3B3C" w:rsidP="00FD61BA">
      <w:pPr>
        <w:jc w:val="both"/>
        <w:rPr>
          <w:rFonts w:cs="Arial"/>
          <w:kern w:val="24"/>
          <w:szCs w:val="24"/>
          <w:lang w:eastAsia="en-GB"/>
        </w:rPr>
      </w:pPr>
      <w:r w:rsidRPr="008B2B29">
        <w:rPr>
          <w:rFonts w:cs="Arial"/>
          <w:i/>
          <w:kern w:val="24"/>
          <w:szCs w:val="24"/>
          <w:lang w:eastAsia="en-GB"/>
        </w:rPr>
        <w:t>Post lockdown</w:t>
      </w:r>
      <w:r w:rsidR="008B2B29" w:rsidRPr="008B2B29">
        <w:rPr>
          <w:rFonts w:cs="Arial"/>
          <w:i/>
          <w:kern w:val="24"/>
          <w:szCs w:val="24"/>
          <w:lang w:eastAsia="en-GB"/>
        </w:rPr>
        <w:t>:</w:t>
      </w:r>
      <w:r w:rsidR="008B2B29">
        <w:rPr>
          <w:rFonts w:cs="Arial"/>
          <w:kern w:val="24"/>
          <w:szCs w:val="24"/>
          <w:lang w:eastAsia="en-GB"/>
        </w:rPr>
        <w:t xml:space="preserve"> </w:t>
      </w:r>
      <w:r>
        <w:rPr>
          <w:rFonts w:cs="Arial"/>
          <w:kern w:val="24"/>
          <w:szCs w:val="24"/>
          <w:lang w:eastAsia="en-GB"/>
        </w:rPr>
        <w:t xml:space="preserve"> </w:t>
      </w:r>
      <w:r w:rsidR="00E669B9" w:rsidRPr="00A62728">
        <w:rPr>
          <w:rFonts w:cs="Arial"/>
          <w:kern w:val="24"/>
          <w:szCs w:val="24"/>
          <w:lang w:eastAsia="en-GB"/>
        </w:rPr>
        <w:t xml:space="preserve">It was also recommended for the </w:t>
      </w:r>
      <w:r w:rsidR="00E669B9">
        <w:rPr>
          <w:rFonts w:cs="Arial"/>
          <w:kern w:val="24"/>
          <w:szCs w:val="24"/>
          <w:lang w:eastAsia="en-GB"/>
        </w:rPr>
        <w:t>c</w:t>
      </w:r>
      <w:r w:rsidR="00E669B9" w:rsidRPr="00A62728">
        <w:rPr>
          <w:rFonts w:cs="Arial"/>
          <w:kern w:val="24"/>
          <w:szCs w:val="24"/>
          <w:lang w:eastAsia="en-GB"/>
        </w:rPr>
        <w:t>ouncil to engage with all town centre retailers to understand their long term plans for their sites.</w:t>
      </w:r>
      <w:r w:rsidR="00E669B9" w:rsidRPr="00935E34">
        <w:rPr>
          <w:rFonts w:cs="Arial"/>
          <w:kern w:val="24"/>
          <w:szCs w:val="24"/>
          <w:lang w:eastAsia="en-GB"/>
        </w:rPr>
        <w:t xml:space="preserve"> </w:t>
      </w:r>
      <w:r w:rsidR="00E669B9">
        <w:rPr>
          <w:rFonts w:cs="Arial"/>
          <w:kern w:val="24"/>
          <w:szCs w:val="24"/>
          <w:lang w:eastAsia="en-GB"/>
        </w:rPr>
        <w:t xml:space="preserve">Due to </w:t>
      </w:r>
      <w:proofErr w:type="spellStart"/>
      <w:r w:rsidR="00E669B9">
        <w:rPr>
          <w:rFonts w:cs="Arial"/>
          <w:kern w:val="24"/>
          <w:szCs w:val="24"/>
          <w:lang w:eastAsia="en-GB"/>
        </w:rPr>
        <w:t>Covid</w:t>
      </w:r>
      <w:proofErr w:type="spellEnd"/>
      <w:r w:rsidR="00E669B9">
        <w:rPr>
          <w:rFonts w:cs="Arial"/>
          <w:kern w:val="24"/>
          <w:szCs w:val="24"/>
          <w:lang w:eastAsia="en-GB"/>
        </w:rPr>
        <w:t xml:space="preserve"> 19 this project is currently on hold.</w:t>
      </w:r>
      <w:r w:rsidR="00E669B9" w:rsidRPr="00935E34">
        <w:rPr>
          <w:rFonts w:cs="Arial"/>
          <w:kern w:val="24"/>
          <w:szCs w:val="24"/>
          <w:lang w:eastAsia="en-GB"/>
        </w:rPr>
        <w:t xml:space="preserve"> </w:t>
      </w:r>
    </w:p>
    <w:p w14:paraId="4C16C896" w14:textId="77777777" w:rsidR="00DA39EB" w:rsidRDefault="00DA39EB" w:rsidP="00FD61BA">
      <w:pPr>
        <w:jc w:val="both"/>
        <w:rPr>
          <w:rFonts w:cs="Arial"/>
          <w:b/>
          <w:kern w:val="24"/>
          <w:szCs w:val="24"/>
          <w:lang w:eastAsia="en-GB"/>
        </w:rPr>
      </w:pPr>
    </w:p>
    <w:p w14:paraId="2119FF08" w14:textId="77777777" w:rsidR="009A01F4" w:rsidRDefault="008B2B29" w:rsidP="00FD61BA">
      <w:pPr>
        <w:jc w:val="both"/>
        <w:rPr>
          <w:rFonts w:cs="Arial"/>
          <w:b/>
          <w:kern w:val="24"/>
          <w:szCs w:val="24"/>
          <w:lang w:eastAsia="en-GB"/>
        </w:rPr>
      </w:pPr>
      <w:r>
        <w:rPr>
          <w:rFonts w:cs="Arial"/>
          <w:b/>
          <w:kern w:val="24"/>
          <w:szCs w:val="24"/>
          <w:lang w:eastAsia="en-GB"/>
        </w:rPr>
        <w:t xml:space="preserve">5.22 </w:t>
      </w:r>
      <w:r w:rsidR="009A01F4" w:rsidRPr="006B6701">
        <w:rPr>
          <w:rFonts w:cs="Arial"/>
          <w:b/>
          <w:kern w:val="24"/>
          <w:szCs w:val="24"/>
          <w:lang w:eastAsia="en-GB"/>
        </w:rPr>
        <w:t xml:space="preserve">Greenhill Place </w:t>
      </w:r>
    </w:p>
    <w:p w14:paraId="7D5995E4" w14:textId="77777777" w:rsidR="009A01F4" w:rsidRDefault="009A01F4" w:rsidP="00FD61BA">
      <w:pPr>
        <w:jc w:val="both"/>
        <w:rPr>
          <w:rFonts w:cs="Arial"/>
          <w:kern w:val="24"/>
          <w:szCs w:val="24"/>
          <w:lang w:eastAsia="en-GB"/>
        </w:rPr>
      </w:pPr>
      <w:r w:rsidRPr="006659D2">
        <w:rPr>
          <w:rFonts w:cs="Arial"/>
          <w:kern w:val="24"/>
          <w:szCs w:val="24"/>
          <w:lang w:eastAsia="en-GB"/>
        </w:rPr>
        <w:t>Funding has been secured from the GLA and through Redrow</w:t>
      </w:r>
      <w:r w:rsidR="00605678">
        <w:rPr>
          <w:rFonts w:cs="Arial"/>
          <w:kern w:val="24"/>
          <w:szCs w:val="24"/>
          <w:lang w:eastAsia="en-GB"/>
        </w:rPr>
        <w:t>’s</w:t>
      </w:r>
      <w:r w:rsidRPr="006659D2">
        <w:rPr>
          <w:rFonts w:cs="Arial"/>
          <w:kern w:val="24"/>
          <w:szCs w:val="24"/>
          <w:lang w:eastAsia="en-GB"/>
        </w:rPr>
        <w:t xml:space="preserve"> s106 to create a new public square </w:t>
      </w:r>
      <w:r w:rsidR="00605678">
        <w:rPr>
          <w:rFonts w:cs="Arial"/>
          <w:kern w:val="24"/>
          <w:szCs w:val="24"/>
          <w:lang w:eastAsia="en-GB"/>
        </w:rPr>
        <w:t>on</w:t>
      </w:r>
      <w:r w:rsidR="00605678" w:rsidRPr="006659D2">
        <w:rPr>
          <w:rFonts w:cs="Arial"/>
          <w:kern w:val="24"/>
          <w:szCs w:val="24"/>
          <w:lang w:eastAsia="en-GB"/>
        </w:rPr>
        <w:t xml:space="preserve"> </w:t>
      </w:r>
      <w:r w:rsidRPr="006659D2">
        <w:rPr>
          <w:rFonts w:cs="Arial"/>
          <w:kern w:val="24"/>
          <w:szCs w:val="24"/>
          <w:lang w:eastAsia="en-GB"/>
        </w:rPr>
        <w:t xml:space="preserve">the site of the surface car park </w:t>
      </w:r>
      <w:r w:rsidR="00605678">
        <w:rPr>
          <w:rFonts w:cs="Arial"/>
          <w:kern w:val="24"/>
          <w:szCs w:val="24"/>
          <w:lang w:eastAsia="en-GB"/>
        </w:rPr>
        <w:t>in</w:t>
      </w:r>
      <w:r w:rsidR="00605678" w:rsidRPr="006659D2">
        <w:rPr>
          <w:rFonts w:cs="Arial"/>
          <w:kern w:val="24"/>
          <w:szCs w:val="24"/>
          <w:lang w:eastAsia="en-GB"/>
        </w:rPr>
        <w:t xml:space="preserve"> </w:t>
      </w:r>
      <w:r w:rsidRPr="006659D2">
        <w:rPr>
          <w:rFonts w:cs="Arial"/>
          <w:kern w:val="24"/>
          <w:szCs w:val="24"/>
          <w:lang w:eastAsia="en-GB"/>
        </w:rPr>
        <w:t xml:space="preserve">St John's Road. The new square will include </w:t>
      </w:r>
      <w:r w:rsidR="00605678">
        <w:rPr>
          <w:rFonts w:cs="Arial"/>
          <w:kern w:val="24"/>
          <w:szCs w:val="24"/>
          <w:lang w:eastAsia="en-GB"/>
        </w:rPr>
        <w:t>five</w:t>
      </w:r>
      <w:r w:rsidR="00605678" w:rsidRPr="006659D2">
        <w:rPr>
          <w:rFonts w:cs="Arial"/>
          <w:kern w:val="24"/>
          <w:szCs w:val="24"/>
          <w:lang w:eastAsia="en-GB"/>
        </w:rPr>
        <w:t xml:space="preserve"> </w:t>
      </w:r>
      <w:r w:rsidRPr="006659D2">
        <w:rPr>
          <w:rFonts w:cs="Arial"/>
          <w:kern w:val="24"/>
          <w:szCs w:val="24"/>
          <w:lang w:eastAsia="en-GB"/>
        </w:rPr>
        <w:t xml:space="preserve">kiosks and an Arts Showcase. Planning </w:t>
      </w:r>
      <w:r w:rsidR="00066596" w:rsidRPr="006659D2">
        <w:rPr>
          <w:rFonts w:cs="Arial"/>
          <w:kern w:val="24"/>
          <w:szCs w:val="24"/>
          <w:lang w:eastAsia="en-GB"/>
        </w:rPr>
        <w:t xml:space="preserve">permission </w:t>
      </w:r>
      <w:r w:rsidRPr="006659D2">
        <w:rPr>
          <w:rFonts w:cs="Arial"/>
          <w:kern w:val="24"/>
          <w:szCs w:val="24"/>
          <w:lang w:eastAsia="en-GB"/>
        </w:rPr>
        <w:t>has been granted and works</w:t>
      </w:r>
      <w:r w:rsidR="00DB5267">
        <w:rPr>
          <w:rFonts w:cs="Arial"/>
          <w:kern w:val="24"/>
          <w:szCs w:val="24"/>
          <w:lang w:eastAsia="en-GB"/>
        </w:rPr>
        <w:t xml:space="preserve"> are underway.</w:t>
      </w:r>
      <w:r w:rsidR="00090BB6">
        <w:rPr>
          <w:rFonts w:cs="Arial"/>
          <w:kern w:val="24"/>
          <w:szCs w:val="24"/>
          <w:lang w:eastAsia="en-GB"/>
        </w:rPr>
        <w:t xml:space="preserve">  </w:t>
      </w:r>
    </w:p>
    <w:p w14:paraId="70D850AC" w14:textId="77777777" w:rsidR="00D82BEA" w:rsidRDefault="00D82BEA" w:rsidP="00FD61BA">
      <w:pPr>
        <w:jc w:val="both"/>
        <w:rPr>
          <w:rFonts w:cs="Arial"/>
          <w:kern w:val="24"/>
          <w:szCs w:val="24"/>
          <w:lang w:eastAsia="en-GB"/>
        </w:rPr>
      </w:pPr>
    </w:p>
    <w:p w14:paraId="359BD8A3" w14:textId="77777777" w:rsidR="00D82BEA" w:rsidRDefault="00D82BEA" w:rsidP="00FD61BA">
      <w:pPr>
        <w:jc w:val="both"/>
        <w:rPr>
          <w:rFonts w:cs="Arial"/>
          <w:kern w:val="24"/>
          <w:szCs w:val="24"/>
          <w:lang w:eastAsia="en-GB"/>
        </w:rPr>
      </w:pPr>
      <w:r w:rsidRPr="008B2B29">
        <w:rPr>
          <w:i/>
          <w:lang w:eastAsia="en-GB"/>
        </w:rPr>
        <w:t>Post Lockdown:</w:t>
      </w:r>
      <w:r w:rsidR="008B2B29">
        <w:rPr>
          <w:lang w:eastAsia="en-GB"/>
        </w:rPr>
        <w:t xml:space="preserve"> </w:t>
      </w:r>
      <w:r w:rsidR="00A75B52">
        <w:rPr>
          <w:rFonts w:cs="Arial"/>
          <w:kern w:val="24"/>
          <w:szCs w:val="24"/>
          <w:lang w:eastAsia="en-GB"/>
        </w:rPr>
        <w:t xml:space="preserve">The impact of </w:t>
      </w:r>
      <w:proofErr w:type="spellStart"/>
      <w:r w:rsidR="00A75B52">
        <w:rPr>
          <w:rFonts w:cs="Arial"/>
          <w:kern w:val="24"/>
          <w:szCs w:val="24"/>
          <w:lang w:eastAsia="en-GB"/>
        </w:rPr>
        <w:t>Covid</w:t>
      </w:r>
      <w:proofErr w:type="spellEnd"/>
      <w:r w:rsidR="00A75B52">
        <w:rPr>
          <w:rFonts w:cs="Arial"/>
          <w:kern w:val="24"/>
          <w:szCs w:val="24"/>
          <w:lang w:eastAsia="en-GB"/>
        </w:rPr>
        <w:t xml:space="preserve"> has pushed back the construction phase significantly. The opening of the kiosks will be phased in response to government guidance.</w:t>
      </w:r>
    </w:p>
    <w:p w14:paraId="36D2AC53" w14:textId="6F09BACF" w:rsidR="00CD5E6D" w:rsidRDefault="00CD5E6D" w:rsidP="00FD61BA">
      <w:pPr>
        <w:jc w:val="both"/>
        <w:rPr>
          <w:rFonts w:cs="Arial"/>
          <w:kern w:val="24"/>
          <w:szCs w:val="24"/>
          <w:lang w:eastAsia="en-GB"/>
        </w:rPr>
      </w:pPr>
    </w:p>
    <w:p w14:paraId="63508052" w14:textId="77777777" w:rsidR="009B77BF" w:rsidRPr="00DB5267" w:rsidRDefault="009B77BF" w:rsidP="00FD61BA">
      <w:pPr>
        <w:jc w:val="both"/>
        <w:rPr>
          <w:rFonts w:cs="Arial"/>
          <w:kern w:val="24"/>
          <w:szCs w:val="24"/>
          <w:lang w:eastAsia="en-GB"/>
        </w:rPr>
      </w:pPr>
    </w:p>
    <w:p w14:paraId="4B29AE17" w14:textId="77777777" w:rsidR="008B2B29" w:rsidRDefault="008B2B29" w:rsidP="00B665A3">
      <w:pPr>
        <w:jc w:val="both"/>
        <w:rPr>
          <w:b/>
          <w:bCs/>
        </w:rPr>
      </w:pPr>
      <w:r>
        <w:rPr>
          <w:b/>
          <w:bCs/>
        </w:rPr>
        <w:t xml:space="preserve">5.23 </w:t>
      </w:r>
      <w:r w:rsidR="002D14F9" w:rsidRPr="00A62728">
        <w:rPr>
          <w:b/>
          <w:bCs/>
        </w:rPr>
        <w:t>Harrow Arts Centre</w:t>
      </w:r>
    </w:p>
    <w:p w14:paraId="19087C34" w14:textId="77777777" w:rsidR="00985B5E" w:rsidRPr="00B665A3" w:rsidRDefault="000D4952" w:rsidP="00B665A3">
      <w:pPr>
        <w:jc w:val="both"/>
        <w:rPr>
          <w:rFonts w:eastAsia="Calibri" w:cs="Arial"/>
          <w:szCs w:val="24"/>
        </w:rPr>
      </w:pPr>
      <w:r w:rsidRPr="00B665A3">
        <w:rPr>
          <w:rFonts w:eastAsia="Calibri" w:cs="Arial"/>
          <w:szCs w:val="24"/>
        </w:rPr>
        <w:t>£1.86m secured for Harrow Arts Centre (HAC) (£760k GLA funding and £1.1m Borough Community Infrastructure Levy;) project to ensure the site is planned better, to support improvements to the public realm, to bring empty buildings back into use, provide new units to replace the old units; to expand and improve provision for lessons &amp; workshops and to provide workspace for artists &amp; creative businesses.  The project had originally anticipated delivering modular units, but due to the heritage nature of the site have decided to progress with traditional build. As a result of this, additional costs are anticipated which is estimated to be £1.776m. This has been included in the 2020/21 Capital Programme.</w:t>
      </w:r>
    </w:p>
    <w:p w14:paraId="7591942E" w14:textId="77777777" w:rsidR="00985B5E" w:rsidRPr="00B665A3" w:rsidRDefault="00985B5E" w:rsidP="00B665A3">
      <w:pPr>
        <w:jc w:val="both"/>
        <w:rPr>
          <w:rFonts w:eastAsia="Calibri" w:cs="Arial"/>
          <w:szCs w:val="24"/>
        </w:rPr>
      </w:pPr>
    </w:p>
    <w:p w14:paraId="6CEE98E0" w14:textId="77777777" w:rsidR="00985B5E" w:rsidRPr="00B665A3" w:rsidRDefault="00985B5E" w:rsidP="00B665A3">
      <w:pPr>
        <w:jc w:val="both"/>
        <w:rPr>
          <w:rFonts w:eastAsia="Calibri" w:cs="Arial"/>
          <w:szCs w:val="24"/>
        </w:rPr>
      </w:pPr>
      <w:r w:rsidRPr="00B665A3">
        <w:rPr>
          <w:rFonts w:eastAsia="Calibri" w:cs="Arial"/>
          <w:szCs w:val="24"/>
        </w:rPr>
        <w:t>The total funding allocated for HAC is therefore £3.686m (£1.91m + £1.776m) now. Phase 1 seeks to bring 3 redundant buildings back into use on the HAC site and works are underway. Phase 2 seeks to build a new build and deliver public realm improvements; the project is at RIBA Stage 3 (detailed design).</w:t>
      </w:r>
    </w:p>
    <w:p w14:paraId="186BC66F" w14:textId="77777777" w:rsidR="000D4952" w:rsidRPr="00A120E6" w:rsidRDefault="000D4952" w:rsidP="00B665A3">
      <w:pPr>
        <w:jc w:val="both"/>
        <w:rPr>
          <w:rFonts w:cs="Arial"/>
        </w:rPr>
      </w:pPr>
    </w:p>
    <w:p w14:paraId="79A849F1" w14:textId="77777777" w:rsidR="00D005D0" w:rsidRPr="00D005D0" w:rsidRDefault="00D005D0" w:rsidP="00FD61BA">
      <w:pPr>
        <w:jc w:val="both"/>
        <w:rPr>
          <w:rFonts w:eastAsia="Calibri" w:cs="Arial"/>
          <w:szCs w:val="24"/>
        </w:rPr>
      </w:pPr>
      <w:r w:rsidRPr="00D005D0">
        <w:rPr>
          <w:rFonts w:eastAsia="Calibri" w:cs="Arial"/>
          <w:szCs w:val="24"/>
        </w:rPr>
        <w:t xml:space="preserve">The Business Plan for Harrow Arts Centre will make HAC financially sustainable and increase participation in the arts. The commencement of the implementation of the plan has already increased the seating capacity of the theatre and delivered a programme of events that has attracted larger audiences. The current phase of the business plan is to increase HAC’s income generating assets. The Business Plan identified that, 1) there is a shortage of creative workspace and 2) HAC has more demand for classrooms to hire than it has available space. </w:t>
      </w:r>
    </w:p>
    <w:p w14:paraId="4829968A" w14:textId="77777777" w:rsidR="00D005D0" w:rsidRPr="00D005D0" w:rsidRDefault="00D005D0" w:rsidP="00FD61BA">
      <w:pPr>
        <w:jc w:val="both"/>
        <w:rPr>
          <w:rFonts w:eastAsia="Calibri" w:cs="Arial"/>
          <w:szCs w:val="24"/>
        </w:rPr>
      </w:pPr>
    </w:p>
    <w:p w14:paraId="7E810CDD" w14:textId="77777777" w:rsidR="00D82BEA" w:rsidRPr="00DB5267" w:rsidRDefault="00D82BEA" w:rsidP="00FD61BA">
      <w:pPr>
        <w:jc w:val="both"/>
        <w:rPr>
          <w:rFonts w:eastAsia="Calibri" w:cs="Arial"/>
          <w:szCs w:val="24"/>
        </w:rPr>
      </w:pPr>
      <w:r w:rsidRPr="008B2B29">
        <w:rPr>
          <w:i/>
          <w:lang w:eastAsia="en-GB"/>
        </w:rPr>
        <w:t>Post Lockdown:</w:t>
      </w:r>
      <w:r w:rsidR="00E063E4">
        <w:rPr>
          <w:lang w:eastAsia="en-GB"/>
        </w:rPr>
        <w:t xml:space="preserve"> Works recommenced on the HAC site under phase 1 in May 2020. Phase 1 is now expected to be completed in November 2020 rather than August 2020.</w:t>
      </w:r>
    </w:p>
    <w:p w14:paraId="37D7673B" w14:textId="77777777" w:rsidR="00D005D0" w:rsidRPr="00A35516" w:rsidRDefault="00D005D0" w:rsidP="00FD61BA">
      <w:pPr>
        <w:jc w:val="both"/>
        <w:rPr>
          <w:rFonts w:eastAsia="Calibri" w:cs="Arial"/>
          <w:szCs w:val="24"/>
        </w:rPr>
      </w:pPr>
    </w:p>
    <w:p w14:paraId="5DA02078" w14:textId="77777777" w:rsidR="00952113" w:rsidRDefault="008B2B29" w:rsidP="00FD61BA">
      <w:pPr>
        <w:jc w:val="both"/>
        <w:rPr>
          <w:rFonts w:eastAsia="Calibri"/>
          <w:b/>
        </w:rPr>
      </w:pPr>
      <w:r>
        <w:rPr>
          <w:rFonts w:eastAsia="Calibri"/>
          <w:b/>
        </w:rPr>
        <w:t xml:space="preserve">5.24 </w:t>
      </w:r>
      <w:r w:rsidR="00952113" w:rsidRPr="00873866">
        <w:rPr>
          <w:rFonts w:eastAsia="Calibri"/>
          <w:b/>
        </w:rPr>
        <w:t>Libraries</w:t>
      </w:r>
    </w:p>
    <w:p w14:paraId="630A73DC" w14:textId="77777777" w:rsidR="002A6B4F" w:rsidRDefault="002A6B4F" w:rsidP="00FD61BA">
      <w:pPr>
        <w:jc w:val="both"/>
        <w:rPr>
          <w:lang w:eastAsia="en-GB"/>
        </w:rPr>
      </w:pPr>
      <w:r>
        <w:rPr>
          <w:lang w:eastAsia="en-GB"/>
        </w:rPr>
        <w:t xml:space="preserve">Whilst good progress has been made on the fit out of Greenhill Library, works on the new library ceased on the 26th March 2020 due to the Covid-19 pandemic and re-commenced on the 11th May 2020. The Council is awaiting final confirmation of the revised programme of works from the fit out contractor. The current lease for Gayton Library has therefore been extended until the 31st August 2020. Works to decant a rolling stack and associated book stock from Gayton Library to the new library will be completed in June 2020. Decisions have been made in relation to furniture and fittings, including shelving, for the new library, as well as for the wayfinding. Approval from Barratt Homes is currently being sought for the proposed external signage. The shell and core of the library has been provided by the developer (Hyde Housing and Barratt Homes), instead of a cash CIL payment due to the council, under the terms of the Section 106 (S106) Agreement. The library will incorporate improved ICT facilities and study areas, an exhibition space, meeting rooms, and a separate pavilion space for flexible community use. There will also be a library garden area for relaxation. </w:t>
      </w:r>
    </w:p>
    <w:p w14:paraId="230B97B7" w14:textId="77777777" w:rsidR="002A6B4F" w:rsidRDefault="002A6B4F" w:rsidP="00FD61BA">
      <w:pPr>
        <w:jc w:val="both"/>
        <w:rPr>
          <w:lang w:eastAsia="en-GB"/>
        </w:rPr>
      </w:pPr>
    </w:p>
    <w:p w14:paraId="0EC80453" w14:textId="77777777" w:rsidR="002A6B4F" w:rsidRDefault="002A6B4F" w:rsidP="00FD61BA">
      <w:pPr>
        <w:jc w:val="both"/>
        <w:rPr>
          <w:lang w:eastAsia="en-GB"/>
        </w:rPr>
      </w:pPr>
      <w:r>
        <w:rPr>
          <w:lang w:eastAsia="en-GB"/>
        </w:rPr>
        <w:t xml:space="preserve">An application for £150k of Neighbourhood Community Infrastructure Levy (NCIL) funding has been submitted to the Planning Department for the refurbishment of Wealdstone Library following the completion of a public consultation undertaken in March 2020 to inform the proposals. Changes to </w:t>
      </w:r>
      <w:r>
        <w:rPr>
          <w:lang w:eastAsia="en-GB"/>
        </w:rPr>
        <w:lastRenderedPageBreak/>
        <w:t>the layout of the library and redecorating the library were seen as the most important priorities. Feedback was also sought on what new stock customers would most like to see in the refurbished library.</w:t>
      </w:r>
    </w:p>
    <w:p w14:paraId="2A5AAA83" w14:textId="77777777" w:rsidR="002A6B4F" w:rsidRDefault="002A6B4F" w:rsidP="00FD61BA">
      <w:pPr>
        <w:jc w:val="both"/>
        <w:rPr>
          <w:lang w:eastAsia="en-GB"/>
        </w:rPr>
      </w:pPr>
    </w:p>
    <w:p w14:paraId="734C2C91" w14:textId="77777777" w:rsidR="002A6B4F" w:rsidRDefault="002A6B4F" w:rsidP="00FD61BA">
      <w:pPr>
        <w:jc w:val="both"/>
        <w:rPr>
          <w:lang w:eastAsia="en-GB"/>
        </w:rPr>
      </w:pPr>
      <w:r>
        <w:rPr>
          <w:lang w:eastAsia="en-GB"/>
        </w:rPr>
        <w:t>A project to refurbish the windows at Kenton Library was advertised on the Council’s Minor Works Framework on the 19th May 2020. An award to the successful tender is due to be made in July 2020 with works to start soon after the contract has been finalised. The works are also to include the installation of a new front door to the library and roof insulation works</w:t>
      </w:r>
      <w:r w:rsidR="00E063E4">
        <w:rPr>
          <w:lang w:eastAsia="en-GB"/>
        </w:rPr>
        <w:t>.</w:t>
      </w:r>
      <w:r w:rsidR="00E063E4" w:rsidRPr="00E063E4">
        <w:rPr>
          <w:lang w:eastAsia="en-GB"/>
        </w:rPr>
        <w:t xml:space="preserve"> </w:t>
      </w:r>
      <w:r w:rsidR="00E063E4">
        <w:rPr>
          <w:lang w:eastAsia="en-GB"/>
        </w:rPr>
        <w:t>All works are scheduled to be completed by the end of September 2020 (subject to planning permission being received for the roof insulation works).</w:t>
      </w:r>
    </w:p>
    <w:p w14:paraId="4C56B3BB" w14:textId="77777777" w:rsidR="009D38E2" w:rsidRDefault="009D38E2" w:rsidP="00FD61BA">
      <w:pPr>
        <w:jc w:val="both"/>
        <w:rPr>
          <w:lang w:eastAsia="en-GB"/>
        </w:rPr>
      </w:pPr>
    </w:p>
    <w:p w14:paraId="3539ECEB" w14:textId="77777777" w:rsidR="00772F7B" w:rsidRDefault="00772F7B" w:rsidP="00FD61BA">
      <w:pPr>
        <w:jc w:val="both"/>
        <w:rPr>
          <w:lang w:eastAsia="en-GB"/>
        </w:rPr>
      </w:pPr>
      <w:r w:rsidRPr="009D38E2">
        <w:rPr>
          <w:i/>
          <w:lang w:eastAsia="en-GB"/>
        </w:rPr>
        <w:t>Post Lockdown:</w:t>
      </w:r>
      <w:r w:rsidR="00E063E4">
        <w:rPr>
          <w:lang w:eastAsia="en-GB"/>
        </w:rPr>
        <w:t xml:space="preserve"> Greenhill Library fit out works ceased for 6 weeks and have now recommenced. There was a delay of 4 weeks in the progression of the project to refurbish the windows at Kenton Library due to the lockdown, but the project has now been advertised on the Council’s Minor Works Framework.</w:t>
      </w:r>
    </w:p>
    <w:p w14:paraId="0A42C100" w14:textId="77777777" w:rsidR="00772F7B" w:rsidRPr="0041735C" w:rsidRDefault="00772F7B" w:rsidP="00FD61BA">
      <w:pPr>
        <w:jc w:val="both"/>
        <w:rPr>
          <w:lang w:eastAsia="en-GB"/>
        </w:rPr>
      </w:pPr>
    </w:p>
    <w:p w14:paraId="3DF2D75F" w14:textId="77777777" w:rsidR="002D14F9" w:rsidRDefault="008B2B29" w:rsidP="00FD61BA">
      <w:pPr>
        <w:pStyle w:val="Heading2"/>
        <w:jc w:val="both"/>
        <w:rPr>
          <w:bCs w:val="0"/>
          <w:sz w:val="24"/>
          <w:szCs w:val="24"/>
        </w:rPr>
      </w:pPr>
      <w:r>
        <w:rPr>
          <w:bCs w:val="0"/>
          <w:sz w:val="24"/>
          <w:szCs w:val="24"/>
        </w:rPr>
        <w:t xml:space="preserve">5.25 </w:t>
      </w:r>
      <w:r w:rsidR="002D14F9" w:rsidRPr="0041735C">
        <w:rPr>
          <w:bCs w:val="0"/>
          <w:sz w:val="24"/>
          <w:szCs w:val="24"/>
        </w:rPr>
        <w:t>The Council’s Housing Programme</w:t>
      </w:r>
    </w:p>
    <w:p w14:paraId="283D1E19" w14:textId="77777777" w:rsidR="0077066E" w:rsidRPr="00A062AF" w:rsidRDefault="00E27D17" w:rsidP="008B2B29">
      <w:pPr>
        <w:jc w:val="both"/>
        <w:rPr>
          <w:rFonts w:cs="Arial"/>
          <w:szCs w:val="24"/>
        </w:rPr>
      </w:pPr>
      <w:r w:rsidRPr="00E27D17">
        <w:rPr>
          <w:rFonts w:eastAsia="Calibri" w:cs="Arial"/>
          <w:szCs w:val="24"/>
        </w:rPr>
        <w:t>Cabinet approved the new Homes for Harrow council house building programme in February 2019 for 659 homes in total, of which 639 are within the Mayor</w:t>
      </w:r>
      <w:r w:rsidR="00313DCC">
        <w:rPr>
          <w:rFonts w:eastAsia="Calibri" w:cs="Arial"/>
          <w:szCs w:val="24"/>
        </w:rPr>
        <w:t>’</w:t>
      </w:r>
      <w:r w:rsidRPr="00E27D17">
        <w:rPr>
          <w:rFonts w:eastAsia="Calibri" w:cs="Arial"/>
          <w:szCs w:val="24"/>
        </w:rPr>
        <w:t xml:space="preserve">s Council House Building for Londoners programme with £32m of grant. </w:t>
      </w:r>
      <w:r w:rsidR="008B2B29">
        <w:rPr>
          <w:rFonts w:eastAsia="Calibri" w:cs="Arial"/>
          <w:szCs w:val="24"/>
        </w:rPr>
        <w:t xml:space="preserve">  </w:t>
      </w:r>
      <w:r w:rsidR="0077066E" w:rsidRPr="00A062AF">
        <w:rPr>
          <w:rFonts w:cs="Arial"/>
          <w:szCs w:val="24"/>
        </w:rPr>
        <w:t xml:space="preserve">Housing Regeneration is </w:t>
      </w:r>
      <w:r w:rsidR="002930FC">
        <w:rPr>
          <w:rFonts w:cs="Arial"/>
          <w:szCs w:val="24"/>
        </w:rPr>
        <w:t xml:space="preserve">now </w:t>
      </w:r>
      <w:r w:rsidR="0077066E" w:rsidRPr="00A062AF">
        <w:rPr>
          <w:rFonts w:cs="Arial"/>
          <w:szCs w:val="24"/>
        </w:rPr>
        <w:t xml:space="preserve">operating a normal service with all contractors now back on site and projects being progressed. </w:t>
      </w:r>
    </w:p>
    <w:p w14:paraId="4BB85C9A" w14:textId="77777777" w:rsidR="0077066E" w:rsidRPr="00A062AF" w:rsidRDefault="0077066E" w:rsidP="0077066E">
      <w:pPr>
        <w:spacing w:line="276" w:lineRule="auto"/>
        <w:contextualSpacing/>
        <w:jc w:val="both"/>
        <w:rPr>
          <w:rFonts w:cs="Arial"/>
          <w:szCs w:val="24"/>
        </w:rPr>
      </w:pPr>
    </w:p>
    <w:p w14:paraId="7AC570A2" w14:textId="77777777" w:rsidR="0077066E" w:rsidRPr="00A062AF" w:rsidRDefault="003B3B3C" w:rsidP="0077066E">
      <w:pPr>
        <w:spacing w:line="276" w:lineRule="auto"/>
        <w:contextualSpacing/>
        <w:jc w:val="both"/>
        <w:rPr>
          <w:rFonts w:cs="Arial"/>
          <w:szCs w:val="24"/>
        </w:rPr>
      </w:pPr>
      <w:r w:rsidRPr="008B2B29">
        <w:rPr>
          <w:rFonts w:cs="Arial"/>
          <w:i/>
          <w:szCs w:val="24"/>
        </w:rPr>
        <w:t>Post lockdown</w:t>
      </w:r>
      <w:r w:rsidR="008B2B29" w:rsidRPr="008B2B29">
        <w:rPr>
          <w:rFonts w:cs="Arial"/>
          <w:i/>
          <w:szCs w:val="24"/>
        </w:rPr>
        <w:t>:</w:t>
      </w:r>
      <w:r w:rsidR="008B2B29">
        <w:rPr>
          <w:rFonts w:cs="Arial"/>
          <w:szCs w:val="24"/>
        </w:rPr>
        <w:t xml:space="preserve"> </w:t>
      </w:r>
      <w:r w:rsidR="0077066E" w:rsidRPr="00A062AF">
        <w:rPr>
          <w:rFonts w:cs="Arial"/>
          <w:szCs w:val="24"/>
        </w:rPr>
        <w:t xml:space="preserve">Covid-19 has resulted in projects being delayed with many uncertainties about submission of planning applications due to needing a different approach to consultation that respects social distancing etc, as well as future project build costs. As a result we do not anticipate many new schemes getting on site in 2020/21. </w:t>
      </w:r>
    </w:p>
    <w:p w14:paraId="037EFE40" w14:textId="77777777" w:rsidR="0077066E" w:rsidRPr="00AB5AE0" w:rsidRDefault="0077066E" w:rsidP="00FD61BA">
      <w:pPr>
        <w:jc w:val="both"/>
        <w:rPr>
          <w:rFonts w:eastAsia="Calibri" w:cs="Arial"/>
          <w:szCs w:val="24"/>
        </w:rPr>
      </w:pPr>
    </w:p>
    <w:p w14:paraId="39EC996B" w14:textId="77777777" w:rsidR="002D14F9" w:rsidRPr="00942674" w:rsidRDefault="008B2B29" w:rsidP="00FD61BA">
      <w:pPr>
        <w:pStyle w:val="Default"/>
        <w:jc w:val="both"/>
        <w:rPr>
          <w:b/>
          <w:bCs/>
          <w:color w:val="auto"/>
        </w:rPr>
      </w:pPr>
      <w:r>
        <w:rPr>
          <w:b/>
          <w:color w:val="auto"/>
        </w:rPr>
        <w:t xml:space="preserve">5.26 </w:t>
      </w:r>
      <w:r w:rsidR="002D14F9" w:rsidRPr="00942674">
        <w:rPr>
          <w:b/>
          <w:bCs/>
          <w:color w:val="auto"/>
        </w:rPr>
        <w:t>The Council’s Education Programme</w:t>
      </w:r>
    </w:p>
    <w:p w14:paraId="0C197C3C" w14:textId="77777777" w:rsidR="0014179F" w:rsidRDefault="00116142" w:rsidP="00FD61BA">
      <w:pPr>
        <w:pStyle w:val="Default"/>
        <w:jc w:val="both"/>
      </w:pPr>
      <w:r w:rsidRPr="00116142">
        <w:t>The third phase for the school expansion programme is completed.  The next stage is to monitor the impact of the Council’s Regeneration Programme and other large private developments on demand for school places. Two sites have been identified for new free primary schools. Harrow View Primary School on the Kodak East site and space has been identified within the Civic Centre site for a new two form entry primary school (Poet’s Corner). The current priorities are to meet the rising demand for secondary school places by working with high schools to provide additional places and working with special and mainstream schools to increase Special Educational Needs and Disability (SE</w:t>
      </w:r>
      <w:r w:rsidR="008B2B29">
        <w:t xml:space="preserve"> </w:t>
      </w:r>
      <w:r w:rsidRPr="00116142">
        <w:t>ND) places within Harrow as part of the SEND Strategy</w:t>
      </w:r>
      <w:r w:rsidR="006479DF">
        <w:t>.</w:t>
      </w:r>
    </w:p>
    <w:p w14:paraId="48BFB6C1" w14:textId="77777777" w:rsidR="00E12C68" w:rsidRDefault="00E12C68" w:rsidP="00FD61BA">
      <w:pPr>
        <w:pStyle w:val="Default"/>
        <w:jc w:val="both"/>
      </w:pPr>
    </w:p>
    <w:p w14:paraId="7DD2E359" w14:textId="074C7AEE" w:rsidR="00E12C68" w:rsidRPr="008B2B29" w:rsidRDefault="008B2B29" w:rsidP="00E12C68">
      <w:pPr>
        <w:pStyle w:val="Default"/>
        <w:jc w:val="both"/>
        <w:rPr>
          <w:iCs/>
        </w:rPr>
      </w:pPr>
      <w:r w:rsidRPr="008B2B29">
        <w:rPr>
          <w:i/>
          <w:iCs/>
        </w:rPr>
        <w:t>Post lockdown:</w:t>
      </w:r>
      <w:r>
        <w:rPr>
          <w:b/>
          <w:iCs/>
        </w:rPr>
        <w:t xml:space="preserve"> </w:t>
      </w:r>
      <w:r w:rsidR="00E12C68" w:rsidRPr="008B2B29">
        <w:rPr>
          <w:iCs/>
        </w:rPr>
        <w:t>The majority of Harrow schools will be opening to more children from the 1</w:t>
      </w:r>
      <w:r w:rsidR="00E12C68" w:rsidRPr="008B2B29">
        <w:rPr>
          <w:iCs/>
          <w:vertAlign w:val="superscript"/>
        </w:rPr>
        <w:t>st</w:t>
      </w:r>
      <w:r w:rsidR="00E12C68" w:rsidRPr="008B2B29">
        <w:rPr>
          <w:iCs/>
        </w:rPr>
        <w:t xml:space="preserve"> June.</w:t>
      </w:r>
      <w:r>
        <w:rPr>
          <w:iCs/>
        </w:rPr>
        <w:t xml:space="preserve"> </w:t>
      </w:r>
      <w:r w:rsidR="00E12C68" w:rsidRPr="008B2B29">
        <w:rPr>
          <w:iCs/>
        </w:rPr>
        <w:t xml:space="preserve"> In the primary phase this is for nursery, </w:t>
      </w:r>
      <w:r w:rsidRPr="008B2B29">
        <w:rPr>
          <w:iCs/>
        </w:rPr>
        <w:t>Reception,</w:t>
      </w:r>
      <w:r w:rsidR="00E12C68" w:rsidRPr="008B2B29">
        <w:rPr>
          <w:iCs/>
        </w:rPr>
        <w:t xml:space="preserve"> Year 1 and Year 6 children. </w:t>
      </w:r>
      <w:r>
        <w:rPr>
          <w:iCs/>
        </w:rPr>
        <w:t xml:space="preserve"> </w:t>
      </w:r>
      <w:r w:rsidR="00E12C68" w:rsidRPr="008B2B29">
        <w:rPr>
          <w:iCs/>
        </w:rPr>
        <w:t>Schools have received guidance from the D</w:t>
      </w:r>
      <w:r>
        <w:rPr>
          <w:iCs/>
        </w:rPr>
        <w:t>epartment for Education (D</w:t>
      </w:r>
      <w:r w:rsidR="00E12C68" w:rsidRPr="008B2B29">
        <w:rPr>
          <w:iCs/>
        </w:rPr>
        <w:t>fE</w:t>
      </w:r>
      <w:r>
        <w:rPr>
          <w:iCs/>
        </w:rPr>
        <w:t>)</w:t>
      </w:r>
      <w:r w:rsidR="00E12C68" w:rsidRPr="008B2B29">
        <w:rPr>
          <w:iCs/>
        </w:rPr>
        <w:t xml:space="preserve"> on how to do </w:t>
      </w:r>
      <w:r w:rsidR="008A7BD4" w:rsidRPr="008B2B29">
        <w:rPr>
          <w:iCs/>
        </w:rPr>
        <w:t>this safety</w:t>
      </w:r>
      <w:r w:rsidR="00E12C68" w:rsidRPr="008B2B29">
        <w:rPr>
          <w:iCs/>
        </w:rPr>
        <w:t xml:space="preserve">, including by implementing social distancing and creating ‘bubbles’ of learners that do not mix with others.  The school is required to have a suitable risk assessment in place. To support </w:t>
      </w:r>
      <w:r w:rsidRPr="008B2B29">
        <w:rPr>
          <w:iCs/>
        </w:rPr>
        <w:t>this</w:t>
      </w:r>
      <w:r>
        <w:rPr>
          <w:iCs/>
        </w:rPr>
        <w:t>, the</w:t>
      </w:r>
      <w:r w:rsidR="00E12C68" w:rsidRPr="008B2B29">
        <w:rPr>
          <w:iCs/>
        </w:rPr>
        <w:t xml:space="preserve"> Council’s H</w:t>
      </w:r>
      <w:r>
        <w:rPr>
          <w:iCs/>
        </w:rPr>
        <w:t xml:space="preserve">ealth &amp; Safety </w:t>
      </w:r>
      <w:r w:rsidR="00E12C68" w:rsidRPr="008B2B29">
        <w:rPr>
          <w:iCs/>
        </w:rPr>
        <w:t>Team have developed a model risk assessment tool for all schools to use in guiding their work.</w:t>
      </w:r>
    </w:p>
    <w:p w14:paraId="5354DD9E" w14:textId="2257C400" w:rsidR="0054295F" w:rsidRDefault="0054295F" w:rsidP="00FD61BA">
      <w:pPr>
        <w:pStyle w:val="Default"/>
        <w:jc w:val="both"/>
        <w:rPr>
          <w:b/>
        </w:rPr>
      </w:pPr>
    </w:p>
    <w:p w14:paraId="1C06F14B" w14:textId="77777777" w:rsidR="009B77BF" w:rsidRDefault="009B77BF" w:rsidP="00FD61BA">
      <w:pPr>
        <w:pStyle w:val="Default"/>
        <w:jc w:val="both"/>
        <w:rPr>
          <w:b/>
        </w:rPr>
      </w:pPr>
    </w:p>
    <w:p w14:paraId="378D5C7A" w14:textId="77777777" w:rsidR="0014179F" w:rsidRPr="006659D2" w:rsidRDefault="008B2B29" w:rsidP="00FD61BA">
      <w:pPr>
        <w:pStyle w:val="Default"/>
        <w:jc w:val="both"/>
        <w:rPr>
          <w:b/>
        </w:rPr>
      </w:pPr>
      <w:r>
        <w:rPr>
          <w:b/>
        </w:rPr>
        <w:t xml:space="preserve">5.27 </w:t>
      </w:r>
      <w:r w:rsidR="0014179F" w:rsidRPr="006659D2">
        <w:rPr>
          <w:b/>
        </w:rPr>
        <w:t>The Council</w:t>
      </w:r>
      <w:r w:rsidR="00313DCC">
        <w:rPr>
          <w:b/>
        </w:rPr>
        <w:t>’</w:t>
      </w:r>
      <w:r w:rsidR="0014179F" w:rsidRPr="006659D2">
        <w:rPr>
          <w:b/>
        </w:rPr>
        <w:t>s Transport Programme</w:t>
      </w:r>
    </w:p>
    <w:p w14:paraId="45218D7C" w14:textId="77777777" w:rsidR="00021D56" w:rsidRDefault="00021D56" w:rsidP="00FD61BA">
      <w:pPr>
        <w:pStyle w:val="Default"/>
        <w:jc w:val="both"/>
      </w:pPr>
    </w:p>
    <w:p w14:paraId="333DADBB" w14:textId="77777777" w:rsidR="003B4BBF" w:rsidRDefault="008B2B29" w:rsidP="00FD61BA">
      <w:pPr>
        <w:pStyle w:val="Default"/>
        <w:jc w:val="both"/>
        <w:rPr>
          <w:b/>
        </w:rPr>
      </w:pPr>
      <w:r>
        <w:rPr>
          <w:b/>
        </w:rPr>
        <w:t xml:space="preserve">5.28 </w:t>
      </w:r>
      <w:r w:rsidR="003B4BBF" w:rsidRPr="003B4BBF">
        <w:rPr>
          <w:b/>
        </w:rPr>
        <w:t>Wealdstone Major Transport Infrastructure Projects</w:t>
      </w:r>
    </w:p>
    <w:p w14:paraId="14BD4A85" w14:textId="77777777" w:rsidR="001855EC" w:rsidRPr="003B4BBF" w:rsidRDefault="001855EC" w:rsidP="00FD61BA">
      <w:pPr>
        <w:pStyle w:val="Default"/>
        <w:jc w:val="both"/>
        <w:rPr>
          <w:b/>
        </w:rPr>
      </w:pPr>
    </w:p>
    <w:p w14:paraId="603EB70C" w14:textId="77777777" w:rsidR="003B4BBF" w:rsidRPr="00AB5AE0" w:rsidRDefault="00772F7B" w:rsidP="00FD61BA">
      <w:pPr>
        <w:pStyle w:val="Default"/>
        <w:jc w:val="both"/>
      </w:pPr>
      <w:r>
        <w:t>Harrow’s transport</w:t>
      </w:r>
      <w:r w:rsidRPr="003B4BBF">
        <w:t xml:space="preserve"> </w:t>
      </w:r>
      <w:r w:rsidR="003B4BBF" w:rsidRPr="003B4BBF">
        <w:t>study</w:t>
      </w:r>
      <w:r>
        <w:t xml:space="preserve"> undertaken in 2017</w:t>
      </w:r>
      <w:r w:rsidR="003B4BBF" w:rsidRPr="003B4BBF">
        <w:t xml:space="preserve"> recommended taking forward two major initiatives to address the future transport demands of the wider regeneration.</w:t>
      </w:r>
    </w:p>
    <w:p w14:paraId="61013893" w14:textId="77777777" w:rsidR="003B4BBF" w:rsidRDefault="003B4BBF" w:rsidP="00FD61BA">
      <w:pPr>
        <w:pStyle w:val="Default"/>
        <w:jc w:val="both"/>
        <w:rPr>
          <w:b/>
        </w:rPr>
      </w:pPr>
    </w:p>
    <w:p w14:paraId="7F1852CD" w14:textId="77777777" w:rsidR="003D5414" w:rsidRDefault="008B2B29" w:rsidP="00FD61BA">
      <w:pPr>
        <w:pStyle w:val="Default"/>
        <w:jc w:val="both"/>
        <w:rPr>
          <w:b/>
        </w:rPr>
      </w:pPr>
      <w:r>
        <w:rPr>
          <w:b/>
        </w:rPr>
        <w:t xml:space="preserve">5.29 </w:t>
      </w:r>
      <w:r w:rsidR="00021D56" w:rsidRPr="00A00E5F">
        <w:rPr>
          <w:b/>
        </w:rPr>
        <w:t>Wealdstone Town Centre</w:t>
      </w:r>
      <w:r w:rsidR="00C82820">
        <w:rPr>
          <w:b/>
        </w:rPr>
        <w:t>/</w:t>
      </w:r>
      <w:r w:rsidR="00021D56" w:rsidRPr="00A00E5F">
        <w:rPr>
          <w:b/>
        </w:rPr>
        <w:t>Bus Priority Improvement Scheme</w:t>
      </w:r>
    </w:p>
    <w:p w14:paraId="1CDE3C55" w14:textId="77777777" w:rsidR="001855EC" w:rsidRDefault="001855EC" w:rsidP="00FD61BA">
      <w:pPr>
        <w:pStyle w:val="Default"/>
        <w:jc w:val="both"/>
        <w:rPr>
          <w:b/>
        </w:rPr>
      </w:pPr>
    </w:p>
    <w:p w14:paraId="632D78DC" w14:textId="77777777" w:rsidR="00772F7B" w:rsidRDefault="00EE0595" w:rsidP="00FD61BA">
      <w:pPr>
        <w:jc w:val="both"/>
      </w:pPr>
      <w:r w:rsidRPr="003B4BBF">
        <w:t xml:space="preserve">A scheme to transform the High Street in Wealdstone between H&amp;W station and Locket Road is required to improve the efficiency and future expansion of bus services which will become an increasingly important mode of transport in the town. </w:t>
      </w:r>
      <w:r w:rsidR="00772F7B">
        <w:t>A</w:t>
      </w:r>
      <w:r w:rsidRPr="003B4BBF">
        <w:t xml:space="preserve"> business case was accepted by TFL in November 2019 and £300k released for design and consultation in 2019/20. The implementation of the scheme is being jointly funded by TFL and Harrow and is estimated to cost £2.25m to implement, £1.35m from TFL and a Harrow match fund of £900k. The match fund is within the 2020/21 capital programme </w:t>
      </w:r>
      <w:r>
        <w:t>and was approved by</w:t>
      </w:r>
      <w:r w:rsidRPr="003B4BBF">
        <w:t xml:space="preserve"> Cabinet. </w:t>
      </w:r>
    </w:p>
    <w:p w14:paraId="62826976" w14:textId="77777777" w:rsidR="00772F7B" w:rsidRDefault="00772F7B" w:rsidP="00FD61BA">
      <w:pPr>
        <w:jc w:val="both"/>
      </w:pPr>
    </w:p>
    <w:p w14:paraId="4014B008" w14:textId="77777777" w:rsidR="00EE0595" w:rsidRPr="006230B5" w:rsidRDefault="00772F7B" w:rsidP="00FD61BA">
      <w:pPr>
        <w:jc w:val="both"/>
        <w:rPr>
          <w:rFonts w:cs="Arial"/>
          <w:szCs w:val="24"/>
          <w:lang w:eastAsia="ja-JP"/>
        </w:rPr>
      </w:pPr>
      <w:r w:rsidRPr="008B2B29">
        <w:rPr>
          <w:i/>
          <w:lang w:eastAsia="en-GB"/>
        </w:rPr>
        <w:t>Post Lockdown:</w:t>
      </w:r>
      <w:r>
        <w:rPr>
          <w:lang w:eastAsia="en-GB"/>
        </w:rPr>
        <w:t xml:space="preserve"> </w:t>
      </w:r>
      <w:r w:rsidR="00EE0595" w:rsidRPr="003B4BBF">
        <w:t xml:space="preserve">A public consultation </w:t>
      </w:r>
      <w:r w:rsidR="00EE0595">
        <w:t>wa</w:t>
      </w:r>
      <w:r w:rsidR="007C3891">
        <w:t xml:space="preserve">s completed </w:t>
      </w:r>
      <w:r w:rsidR="00EE0595" w:rsidRPr="003B4BBF">
        <w:t>in January / February 2020</w:t>
      </w:r>
      <w:r w:rsidR="00EE0595">
        <w:t xml:space="preserve"> and subsequently approved by the Portfolio </w:t>
      </w:r>
      <w:r w:rsidR="004D1827">
        <w:t xml:space="preserve">Holder </w:t>
      </w:r>
      <w:r w:rsidR="004D1827" w:rsidRPr="003B4BBF">
        <w:t>and</w:t>
      </w:r>
      <w:r w:rsidR="00EE0595" w:rsidRPr="003B4BBF">
        <w:t xml:space="preserve"> implementation </w:t>
      </w:r>
      <w:r w:rsidR="00EE0595">
        <w:t>was</w:t>
      </w:r>
      <w:r w:rsidR="00EE0595" w:rsidRPr="003B4BBF">
        <w:t xml:space="preserve"> planned for 2020/21</w:t>
      </w:r>
      <w:r w:rsidR="00EE0595">
        <w:t xml:space="preserve">, </w:t>
      </w:r>
      <w:r w:rsidR="00EE0595">
        <w:rPr>
          <w:rFonts w:cs="Arial"/>
          <w:szCs w:val="24"/>
          <w:lang w:eastAsia="ja-JP"/>
        </w:rPr>
        <w:t xml:space="preserve">however, the coronavirus health crisis has led to transport programmes in London being suspended by </w:t>
      </w:r>
      <w:r w:rsidR="007C3891">
        <w:rPr>
          <w:rFonts w:cs="Arial"/>
          <w:szCs w:val="24"/>
          <w:lang w:eastAsia="ja-JP"/>
        </w:rPr>
        <w:t>Transport</w:t>
      </w:r>
      <w:r w:rsidR="00EE0595">
        <w:rPr>
          <w:rFonts w:cs="Arial"/>
          <w:szCs w:val="24"/>
          <w:lang w:eastAsia="ja-JP"/>
        </w:rPr>
        <w:t xml:space="preserve"> for London and this project is on hold currently.</w:t>
      </w:r>
    </w:p>
    <w:p w14:paraId="74B1E66A" w14:textId="77777777" w:rsidR="003B4BBF" w:rsidRPr="003B4BBF" w:rsidRDefault="003B4BBF" w:rsidP="00FD61BA">
      <w:pPr>
        <w:pStyle w:val="Default"/>
        <w:jc w:val="both"/>
        <w:rPr>
          <w:b/>
        </w:rPr>
      </w:pPr>
    </w:p>
    <w:p w14:paraId="67E16398" w14:textId="77777777" w:rsidR="003B4BBF" w:rsidRDefault="008B2B29" w:rsidP="00FD61BA">
      <w:pPr>
        <w:pStyle w:val="Default"/>
        <w:tabs>
          <w:tab w:val="left" w:pos="3506"/>
        </w:tabs>
        <w:jc w:val="both"/>
        <w:rPr>
          <w:b/>
        </w:rPr>
      </w:pPr>
      <w:r>
        <w:rPr>
          <w:b/>
        </w:rPr>
        <w:t xml:space="preserve">5.30 </w:t>
      </w:r>
      <w:r w:rsidR="003B4BBF" w:rsidRPr="003B4BBF">
        <w:rPr>
          <w:b/>
        </w:rPr>
        <w:t>Liveable Neighbourhood</w:t>
      </w:r>
      <w:r w:rsidR="00996480">
        <w:rPr>
          <w:b/>
        </w:rPr>
        <w:tab/>
      </w:r>
    </w:p>
    <w:p w14:paraId="0518A0D2" w14:textId="77777777" w:rsidR="001855EC" w:rsidRDefault="001855EC" w:rsidP="00FD61BA">
      <w:pPr>
        <w:pStyle w:val="Default"/>
        <w:tabs>
          <w:tab w:val="left" w:pos="3506"/>
        </w:tabs>
        <w:jc w:val="both"/>
        <w:rPr>
          <w:b/>
        </w:rPr>
      </w:pPr>
    </w:p>
    <w:p w14:paraId="4CB6BE6C" w14:textId="77777777" w:rsidR="00772F7B" w:rsidRDefault="003B4BBF" w:rsidP="00DD66D9">
      <w:pPr>
        <w:jc w:val="both"/>
      </w:pPr>
      <w:r w:rsidRPr="00DD66D9">
        <w:t xml:space="preserve">The liveable neighbourhood bid proposes to unlock the potential of Wealdstone’s strengths (public transport) and address its weaknesses (vehicular traffic dominance) through a combination of physical interventions and behaviour change initiatives to increase the level of walking, cycling and public transport use. </w:t>
      </w:r>
      <w:r w:rsidR="008B2B29">
        <w:t xml:space="preserve">   </w:t>
      </w:r>
      <w:r w:rsidR="007C3891" w:rsidRPr="007C3891">
        <w:t xml:space="preserve">The bid includes plans to introduce strategic north/south and east/west corridors through the town to facilitate more walking and cycling and also to create localised “healthy streets” environments within residential neighbourhoods surrounding the town centre to facilitate greater walking, cycling and improve connectivity to bus services to improve public transport use. </w:t>
      </w:r>
    </w:p>
    <w:p w14:paraId="19B406E9" w14:textId="77777777" w:rsidR="00772F7B" w:rsidRDefault="00772F7B" w:rsidP="00DD66D9">
      <w:pPr>
        <w:jc w:val="both"/>
      </w:pPr>
    </w:p>
    <w:p w14:paraId="2A79CBAC" w14:textId="77777777" w:rsidR="008B2B29" w:rsidRDefault="00772F7B" w:rsidP="002D58A3">
      <w:pPr>
        <w:jc w:val="both"/>
      </w:pPr>
      <w:r w:rsidRPr="008B2B29">
        <w:rPr>
          <w:i/>
          <w:lang w:eastAsia="en-GB"/>
        </w:rPr>
        <w:t>Post Lockdown:</w:t>
      </w:r>
      <w:r>
        <w:rPr>
          <w:lang w:eastAsia="en-GB"/>
        </w:rPr>
        <w:t xml:space="preserve"> </w:t>
      </w:r>
      <w:r w:rsidR="007C3891" w:rsidRPr="007C3891">
        <w:t>A comprehensive liveable neighbourhood bid was submitted to TfL in November 2019 and the outcome of bid submissions across London was expected to be announced by TfL by March 2020, however, the coronavirus health crisis</w:t>
      </w:r>
      <w:r w:rsidR="007C3891">
        <w:t xml:space="preserve"> </w:t>
      </w:r>
      <w:r w:rsidR="007C3891" w:rsidRPr="007C3891">
        <w:t>has led to transport programmes in London being suspended by Transport for London and this announcement is on hold currently.</w:t>
      </w:r>
    </w:p>
    <w:p w14:paraId="209A7763" w14:textId="14842E07" w:rsidR="00CA229A" w:rsidRDefault="00CA229A" w:rsidP="00CA229A"/>
    <w:p w14:paraId="666434AA" w14:textId="5CF7DF09" w:rsidR="00E2281E" w:rsidRPr="008B1521" w:rsidRDefault="00E2281E" w:rsidP="00E2281E">
      <w:pPr>
        <w:pStyle w:val="Default"/>
        <w:tabs>
          <w:tab w:val="left" w:pos="3506"/>
        </w:tabs>
        <w:jc w:val="both"/>
        <w:rPr>
          <w:b/>
        </w:rPr>
      </w:pPr>
      <w:r w:rsidRPr="008B1521">
        <w:rPr>
          <w:b/>
        </w:rPr>
        <w:t xml:space="preserve">5.31 London </w:t>
      </w:r>
      <w:proofErr w:type="spellStart"/>
      <w:r w:rsidRPr="008B1521">
        <w:rPr>
          <w:b/>
        </w:rPr>
        <w:t>Streetspace</w:t>
      </w:r>
      <w:proofErr w:type="spellEnd"/>
      <w:r w:rsidRPr="008B1521">
        <w:rPr>
          <w:b/>
        </w:rPr>
        <w:t xml:space="preserve"> Programme</w:t>
      </w:r>
    </w:p>
    <w:p w14:paraId="3A944D3F" w14:textId="77777777" w:rsidR="00E2281E" w:rsidRDefault="00E2281E" w:rsidP="009B77BF">
      <w:pPr>
        <w:jc w:val="both"/>
      </w:pPr>
    </w:p>
    <w:p w14:paraId="4E776B9A" w14:textId="285DC56C" w:rsidR="008B1521" w:rsidRDefault="00E866A5" w:rsidP="008B1521">
      <w:pPr>
        <w:jc w:val="both"/>
        <w:rPr>
          <w:rFonts w:cs="Arial"/>
          <w:szCs w:val="24"/>
          <w:lang w:eastAsia="ja-JP"/>
        </w:rPr>
      </w:pPr>
      <w:r>
        <w:rPr>
          <w:rFonts w:cs="Arial"/>
          <w:szCs w:val="24"/>
          <w:lang w:eastAsia="ja-JP"/>
        </w:rPr>
        <w:t xml:space="preserve">Following the </w:t>
      </w:r>
      <w:r w:rsidR="00E2281E">
        <w:rPr>
          <w:rFonts w:cs="Arial"/>
          <w:szCs w:val="24"/>
          <w:lang w:eastAsia="ja-JP"/>
        </w:rPr>
        <w:t>coronavirus health crisis a</w:t>
      </w:r>
      <w:r w:rsidR="00E2281E" w:rsidRPr="00A062AF">
        <w:rPr>
          <w:rFonts w:cs="Arial"/>
          <w:szCs w:val="24"/>
          <w:lang w:eastAsia="ja-JP"/>
        </w:rPr>
        <w:t xml:space="preserve">n application for </w:t>
      </w:r>
      <w:proofErr w:type="spellStart"/>
      <w:r w:rsidR="00E2281E" w:rsidRPr="00A062AF">
        <w:rPr>
          <w:rFonts w:cs="Arial"/>
          <w:szCs w:val="24"/>
          <w:lang w:eastAsia="ja-JP"/>
        </w:rPr>
        <w:t>Streetspace</w:t>
      </w:r>
      <w:proofErr w:type="spellEnd"/>
      <w:r w:rsidR="00E2281E" w:rsidRPr="00A062AF">
        <w:rPr>
          <w:rFonts w:cs="Arial"/>
          <w:szCs w:val="24"/>
          <w:lang w:eastAsia="ja-JP"/>
        </w:rPr>
        <w:t xml:space="preserve"> funds </w:t>
      </w:r>
      <w:r w:rsidR="008B1521">
        <w:rPr>
          <w:rFonts w:cs="Arial"/>
          <w:szCs w:val="24"/>
          <w:lang w:eastAsia="ja-JP"/>
        </w:rPr>
        <w:t xml:space="preserve">was </w:t>
      </w:r>
      <w:r w:rsidR="00E2281E" w:rsidRPr="00A062AF">
        <w:rPr>
          <w:rFonts w:cs="Arial"/>
          <w:szCs w:val="24"/>
          <w:lang w:eastAsia="ja-JP"/>
        </w:rPr>
        <w:t xml:space="preserve">submitted to </w:t>
      </w:r>
      <w:r w:rsidR="0084427A">
        <w:rPr>
          <w:rFonts w:cs="Arial"/>
          <w:szCs w:val="24"/>
          <w:lang w:eastAsia="ja-JP"/>
        </w:rPr>
        <w:t>Transport for London</w:t>
      </w:r>
      <w:r w:rsidR="00E2281E">
        <w:rPr>
          <w:rFonts w:cs="Arial"/>
          <w:szCs w:val="24"/>
          <w:lang w:eastAsia="ja-JP"/>
        </w:rPr>
        <w:t xml:space="preserve"> </w:t>
      </w:r>
      <w:r w:rsidR="008B1521">
        <w:rPr>
          <w:rFonts w:cs="Arial"/>
          <w:szCs w:val="24"/>
          <w:lang w:eastAsia="ja-JP"/>
        </w:rPr>
        <w:t xml:space="preserve">(TfL) </w:t>
      </w:r>
      <w:r w:rsidR="00E2281E">
        <w:rPr>
          <w:rFonts w:cs="Arial"/>
          <w:szCs w:val="24"/>
          <w:lang w:eastAsia="ja-JP"/>
        </w:rPr>
        <w:t xml:space="preserve">for schemes to </w:t>
      </w:r>
      <w:r w:rsidR="00886F9D">
        <w:rPr>
          <w:rFonts w:cs="Arial"/>
          <w:szCs w:val="24"/>
          <w:lang w:eastAsia="ja-JP"/>
        </w:rPr>
        <w:t xml:space="preserve">address the health crisis and accommodate </w:t>
      </w:r>
      <w:r w:rsidR="008B1521">
        <w:rPr>
          <w:rFonts w:cs="Arial"/>
          <w:szCs w:val="24"/>
          <w:lang w:eastAsia="ja-JP"/>
        </w:rPr>
        <w:t xml:space="preserve">any </w:t>
      </w:r>
      <w:r w:rsidR="00886F9D">
        <w:rPr>
          <w:rFonts w:cs="Arial"/>
          <w:szCs w:val="24"/>
          <w:lang w:eastAsia="ja-JP"/>
        </w:rPr>
        <w:t xml:space="preserve">changes </w:t>
      </w:r>
      <w:r w:rsidR="008B1521">
        <w:rPr>
          <w:rFonts w:cs="Arial"/>
          <w:szCs w:val="24"/>
          <w:lang w:eastAsia="ja-JP"/>
        </w:rPr>
        <w:t xml:space="preserve">required </w:t>
      </w:r>
      <w:r w:rsidR="00886F9D">
        <w:rPr>
          <w:rFonts w:cs="Arial"/>
          <w:szCs w:val="24"/>
          <w:lang w:eastAsia="ja-JP"/>
        </w:rPr>
        <w:t xml:space="preserve">to transport and travel due to government restrictions and </w:t>
      </w:r>
      <w:r w:rsidR="008B1521">
        <w:rPr>
          <w:rFonts w:cs="Arial"/>
          <w:szCs w:val="24"/>
          <w:lang w:eastAsia="ja-JP"/>
        </w:rPr>
        <w:t xml:space="preserve">to ensure </w:t>
      </w:r>
      <w:r w:rsidR="00886F9D">
        <w:rPr>
          <w:rFonts w:cs="Arial"/>
          <w:szCs w:val="24"/>
          <w:lang w:eastAsia="ja-JP"/>
        </w:rPr>
        <w:t xml:space="preserve">social distancing. </w:t>
      </w:r>
      <w:r w:rsidR="002D4C6F">
        <w:rPr>
          <w:rFonts w:cs="Arial"/>
          <w:szCs w:val="24"/>
          <w:lang w:eastAsia="ja-JP"/>
        </w:rPr>
        <w:t xml:space="preserve">Many of these </w:t>
      </w:r>
      <w:r w:rsidR="002D4C6F">
        <w:rPr>
          <w:rFonts w:cs="Arial"/>
          <w:szCs w:val="24"/>
          <w:lang w:eastAsia="ja-JP"/>
        </w:rPr>
        <w:lastRenderedPageBreak/>
        <w:t xml:space="preserve">proposals are intended as short term interventions </w:t>
      </w:r>
      <w:r w:rsidR="008B1521">
        <w:rPr>
          <w:rFonts w:cs="Arial"/>
          <w:szCs w:val="24"/>
          <w:lang w:eastAsia="ja-JP"/>
        </w:rPr>
        <w:t>however, some have the p</w:t>
      </w:r>
      <w:r w:rsidR="002D4C6F">
        <w:rPr>
          <w:rFonts w:cs="Arial"/>
          <w:szCs w:val="24"/>
          <w:lang w:eastAsia="ja-JP"/>
        </w:rPr>
        <w:t xml:space="preserve">otential to be longer term interventions </w:t>
      </w:r>
      <w:r w:rsidR="008B1521">
        <w:rPr>
          <w:rFonts w:cs="Arial"/>
          <w:szCs w:val="24"/>
          <w:lang w:eastAsia="ja-JP"/>
        </w:rPr>
        <w:t xml:space="preserve">to be incorporated into </w:t>
      </w:r>
      <w:r w:rsidR="002D4C6F">
        <w:rPr>
          <w:rFonts w:cs="Arial"/>
          <w:szCs w:val="24"/>
          <w:lang w:eastAsia="ja-JP"/>
        </w:rPr>
        <w:t xml:space="preserve">permanent schemes </w:t>
      </w:r>
      <w:r w:rsidR="001D486A">
        <w:rPr>
          <w:rFonts w:cs="Arial"/>
          <w:szCs w:val="24"/>
          <w:lang w:eastAsia="ja-JP"/>
        </w:rPr>
        <w:t>within the</w:t>
      </w:r>
      <w:r w:rsidR="002D4C6F">
        <w:rPr>
          <w:rFonts w:cs="Arial"/>
          <w:szCs w:val="24"/>
          <w:lang w:eastAsia="ja-JP"/>
        </w:rPr>
        <w:t xml:space="preserve"> borough and in areas of regeneration</w:t>
      </w:r>
      <w:r w:rsidR="002D4C6F" w:rsidRPr="002D4C6F">
        <w:rPr>
          <w:rFonts w:cs="Arial"/>
          <w:szCs w:val="24"/>
          <w:lang w:eastAsia="ja-JP"/>
        </w:rPr>
        <w:t xml:space="preserve"> </w:t>
      </w:r>
      <w:r w:rsidR="002D4C6F">
        <w:rPr>
          <w:rFonts w:cs="Arial"/>
          <w:szCs w:val="24"/>
          <w:lang w:eastAsia="ja-JP"/>
        </w:rPr>
        <w:t xml:space="preserve">if the trend of lower levels of vehicular traffic can be maintained. </w:t>
      </w:r>
    </w:p>
    <w:p w14:paraId="68899CC8" w14:textId="77777777" w:rsidR="008B1521" w:rsidRDefault="008B1521" w:rsidP="008B1521">
      <w:pPr>
        <w:jc w:val="both"/>
        <w:rPr>
          <w:rFonts w:cs="Arial"/>
          <w:szCs w:val="24"/>
          <w:lang w:eastAsia="ja-JP"/>
        </w:rPr>
      </w:pPr>
    </w:p>
    <w:p w14:paraId="1F6C6A6C" w14:textId="17B4DA09" w:rsidR="00886F9D" w:rsidRDefault="002D4C6F" w:rsidP="0085375D">
      <w:pPr>
        <w:jc w:val="both"/>
        <w:rPr>
          <w:rFonts w:cs="Arial"/>
          <w:szCs w:val="24"/>
          <w:lang w:eastAsia="ja-JP"/>
        </w:rPr>
      </w:pPr>
      <w:r>
        <w:rPr>
          <w:rFonts w:cs="Arial"/>
          <w:szCs w:val="24"/>
          <w:lang w:eastAsia="ja-JP"/>
        </w:rPr>
        <w:t xml:space="preserve">It is considered that many of the behaviour changes in travel caused by the crisis may have longer lasting effects </w:t>
      </w:r>
      <w:r w:rsidR="00E866A5">
        <w:rPr>
          <w:rFonts w:cs="Arial"/>
          <w:szCs w:val="24"/>
          <w:lang w:eastAsia="ja-JP"/>
        </w:rPr>
        <w:t xml:space="preserve">which could have </w:t>
      </w:r>
      <w:r>
        <w:rPr>
          <w:rFonts w:cs="Arial"/>
          <w:szCs w:val="24"/>
          <w:lang w:eastAsia="ja-JP"/>
        </w:rPr>
        <w:t>significant benefits on public health, the environment and climate change.</w:t>
      </w:r>
      <w:r w:rsidR="008B1521">
        <w:rPr>
          <w:rFonts w:cs="Arial"/>
          <w:szCs w:val="24"/>
          <w:lang w:eastAsia="ja-JP"/>
        </w:rPr>
        <w:t xml:space="preserve">  </w:t>
      </w:r>
      <w:r>
        <w:rPr>
          <w:rFonts w:cs="Arial"/>
          <w:szCs w:val="24"/>
          <w:lang w:eastAsia="ja-JP"/>
        </w:rPr>
        <w:t>The p</w:t>
      </w:r>
      <w:r w:rsidR="00886F9D">
        <w:rPr>
          <w:rFonts w:cs="Arial"/>
          <w:szCs w:val="24"/>
          <w:lang w:eastAsia="ja-JP"/>
        </w:rPr>
        <w:t xml:space="preserve">roposals are targeting </w:t>
      </w:r>
      <w:r>
        <w:rPr>
          <w:rFonts w:cs="Arial"/>
          <w:szCs w:val="24"/>
          <w:lang w:eastAsia="ja-JP"/>
        </w:rPr>
        <w:t>schemes to improve</w:t>
      </w:r>
      <w:r w:rsidR="00886F9D">
        <w:rPr>
          <w:rFonts w:cs="Arial"/>
          <w:szCs w:val="24"/>
          <w:lang w:eastAsia="ja-JP"/>
        </w:rPr>
        <w:t xml:space="preserve"> pedestrian space, cycling, low traffic neighbourhoods and school streets</w:t>
      </w:r>
      <w:r>
        <w:rPr>
          <w:rFonts w:cs="Arial"/>
          <w:szCs w:val="24"/>
          <w:lang w:eastAsia="ja-JP"/>
        </w:rPr>
        <w:t xml:space="preserve"> and a full programme of proposals has been submitted for </w:t>
      </w:r>
      <w:r w:rsidR="0084427A">
        <w:rPr>
          <w:rFonts w:cs="Arial"/>
          <w:szCs w:val="24"/>
          <w:lang w:eastAsia="ja-JP"/>
        </w:rPr>
        <w:t xml:space="preserve">consideration. </w:t>
      </w:r>
      <w:r>
        <w:rPr>
          <w:rFonts w:cs="Arial"/>
          <w:szCs w:val="24"/>
          <w:lang w:eastAsia="ja-JP"/>
        </w:rPr>
        <w:t xml:space="preserve">To date the borough has been </w:t>
      </w:r>
      <w:r w:rsidR="0084427A">
        <w:rPr>
          <w:rFonts w:cs="Arial"/>
          <w:szCs w:val="24"/>
          <w:lang w:eastAsia="ja-JP"/>
        </w:rPr>
        <w:t xml:space="preserve">successful in being </w:t>
      </w:r>
      <w:r>
        <w:rPr>
          <w:rFonts w:cs="Arial"/>
          <w:szCs w:val="24"/>
          <w:lang w:eastAsia="ja-JP"/>
        </w:rPr>
        <w:t xml:space="preserve">awarded £638k from </w:t>
      </w:r>
      <w:r w:rsidR="008B1521">
        <w:rPr>
          <w:rFonts w:cs="Arial"/>
          <w:szCs w:val="24"/>
          <w:lang w:eastAsia="ja-JP"/>
        </w:rPr>
        <w:t>TfL</w:t>
      </w:r>
      <w:r>
        <w:rPr>
          <w:rFonts w:cs="Arial"/>
          <w:szCs w:val="24"/>
          <w:lang w:eastAsia="ja-JP"/>
        </w:rPr>
        <w:t xml:space="preserve"> and £100k from the Department of Transport </w:t>
      </w:r>
      <w:r w:rsidR="0084427A">
        <w:rPr>
          <w:rFonts w:cs="Arial"/>
          <w:szCs w:val="24"/>
          <w:lang w:eastAsia="ja-JP"/>
        </w:rPr>
        <w:t>t</w:t>
      </w:r>
      <w:r>
        <w:rPr>
          <w:rFonts w:cs="Arial"/>
          <w:szCs w:val="24"/>
          <w:lang w:eastAsia="ja-JP"/>
        </w:rPr>
        <w:t xml:space="preserve">o implement improvements. </w:t>
      </w:r>
    </w:p>
    <w:p w14:paraId="0E1FC2ED" w14:textId="77777777" w:rsidR="00886F9D" w:rsidRDefault="00886F9D" w:rsidP="0085375D">
      <w:pPr>
        <w:jc w:val="both"/>
        <w:rPr>
          <w:rFonts w:cs="Arial"/>
          <w:szCs w:val="24"/>
          <w:lang w:eastAsia="ja-JP"/>
        </w:rPr>
      </w:pPr>
    </w:p>
    <w:p w14:paraId="33ACD011" w14:textId="76A6BD61" w:rsidR="00E418DF" w:rsidRDefault="00886F9D" w:rsidP="0085375D">
      <w:pPr>
        <w:jc w:val="both"/>
        <w:rPr>
          <w:rFonts w:cs="Arial"/>
          <w:szCs w:val="24"/>
          <w:lang w:eastAsia="ja-JP"/>
        </w:rPr>
      </w:pPr>
      <w:r>
        <w:rPr>
          <w:rFonts w:cs="Arial"/>
          <w:szCs w:val="24"/>
          <w:lang w:eastAsia="ja-JP"/>
        </w:rPr>
        <w:t xml:space="preserve">An </w:t>
      </w:r>
      <w:r w:rsidR="00E2281E">
        <w:rPr>
          <w:rFonts w:cs="Arial"/>
          <w:szCs w:val="24"/>
          <w:lang w:eastAsia="ja-JP"/>
        </w:rPr>
        <w:t xml:space="preserve">increase </w:t>
      </w:r>
      <w:r>
        <w:rPr>
          <w:rFonts w:cs="Arial"/>
          <w:szCs w:val="24"/>
          <w:lang w:eastAsia="ja-JP"/>
        </w:rPr>
        <w:t xml:space="preserve">in </w:t>
      </w:r>
      <w:r w:rsidR="00E2281E">
        <w:rPr>
          <w:rFonts w:cs="Arial"/>
          <w:szCs w:val="24"/>
          <w:lang w:eastAsia="ja-JP"/>
        </w:rPr>
        <w:t xml:space="preserve">pedestrian space </w:t>
      </w:r>
      <w:r>
        <w:rPr>
          <w:rFonts w:cs="Arial"/>
          <w:szCs w:val="24"/>
          <w:lang w:eastAsia="ja-JP"/>
        </w:rPr>
        <w:t xml:space="preserve">is required </w:t>
      </w:r>
      <w:r w:rsidR="00E2281E">
        <w:rPr>
          <w:rFonts w:cs="Arial"/>
          <w:szCs w:val="24"/>
          <w:lang w:eastAsia="ja-JP"/>
        </w:rPr>
        <w:t xml:space="preserve">in </w:t>
      </w:r>
      <w:r w:rsidR="00E866A5">
        <w:rPr>
          <w:rFonts w:cs="Arial"/>
          <w:szCs w:val="24"/>
          <w:lang w:eastAsia="ja-JP"/>
        </w:rPr>
        <w:t xml:space="preserve">many </w:t>
      </w:r>
      <w:r w:rsidR="00E2281E">
        <w:rPr>
          <w:rFonts w:cs="Arial"/>
          <w:szCs w:val="24"/>
          <w:lang w:eastAsia="ja-JP"/>
        </w:rPr>
        <w:t xml:space="preserve">shopping areas and transport hubs to enable social distancing as the lockdown restrictions are eased </w:t>
      </w:r>
      <w:r w:rsidR="00E866A5">
        <w:rPr>
          <w:rFonts w:cs="Arial"/>
          <w:szCs w:val="24"/>
          <w:lang w:eastAsia="ja-JP"/>
        </w:rPr>
        <w:t xml:space="preserve">this is due to a </w:t>
      </w:r>
      <w:r w:rsidR="00E2281E">
        <w:rPr>
          <w:rFonts w:cs="Arial"/>
          <w:szCs w:val="24"/>
          <w:lang w:eastAsia="ja-JP"/>
        </w:rPr>
        <w:t xml:space="preserve">greater pedestrian footfall anticipated. </w:t>
      </w:r>
      <w:r w:rsidR="0000133D">
        <w:rPr>
          <w:rFonts w:cs="Arial"/>
          <w:szCs w:val="24"/>
          <w:lang w:eastAsia="ja-JP"/>
        </w:rPr>
        <w:t xml:space="preserve">Four schemes have been </w:t>
      </w:r>
      <w:r w:rsidR="00E418DF">
        <w:rPr>
          <w:rFonts w:cs="Arial"/>
          <w:szCs w:val="24"/>
          <w:lang w:eastAsia="ja-JP"/>
        </w:rPr>
        <w:t>implemented</w:t>
      </w:r>
      <w:r w:rsidR="0000133D">
        <w:rPr>
          <w:rFonts w:cs="Arial"/>
          <w:szCs w:val="24"/>
          <w:lang w:eastAsia="ja-JP"/>
        </w:rPr>
        <w:t xml:space="preserve"> to date </w:t>
      </w:r>
      <w:r w:rsidR="00E418DF">
        <w:rPr>
          <w:rFonts w:cs="Arial"/>
          <w:szCs w:val="24"/>
          <w:lang w:eastAsia="ja-JP"/>
        </w:rPr>
        <w:t xml:space="preserve">in Station Road (Wealdstone), Harrow &amp; Wealdstone station, High Road (Harrow Weald) shops and </w:t>
      </w:r>
      <w:proofErr w:type="spellStart"/>
      <w:r w:rsidR="00E418DF">
        <w:rPr>
          <w:rFonts w:cs="Arial"/>
          <w:szCs w:val="24"/>
          <w:lang w:eastAsia="ja-JP"/>
        </w:rPr>
        <w:t>Porlock</w:t>
      </w:r>
      <w:proofErr w:type="spellEnd"/>
      <w:r w:rsidR="00E418DF">
        <w:rPr>
          <w:rFonts w:cs="Arial"/>
          <w:szCs w:val="24"/>
          <w:lang w:eastAsia="ja-JP"/>
        </w:rPr>
        <w:t xml:space="preserve"> Avenue (West Harrow) shops</w:t>
      </w:r>
      <w:r w:rsidR="00E866A5">
        <w:rPr>
          <w:rFonts w:cs="Arial"/>
          <w:szCs w:val="24"/>
          <w:lang w:eastAsia="ja-JP"/>
        </w:rPr>
        <w:t xml:space="preserve"> with a </w:t>
      </w:r>
      <w:r w:rsidR="0000133D">
        <w:rPr>
          <w:rFonts w:cs="Arial"/>
          <w:szCs w:val="24"/>
          <w:lang w:eastAsia="ja-JP"/>
        </w:rPr>
        <w:t xml:space="preserve">further 5 schemes </w:t>
      </w:r>
      <w:r w:rsidR="00E418DF">
        <w:rPr>
          <w:rFonts w:cs="Arial"/>
          <w:szCs w:val="24"/>
          <w:lang w:eastAsia="ja-JP"/>
        </w:rPr>
        <w:t>will</w:t>
      </w:r>
      <w:r w:rsidR="0000133D">
        <w:rPr>
          <w:rFonts w:cs="Arial"/>
          <w:szCs w:val="24"/>
          <w:lang w:eastAsia="ja-JP"/>
        </w:rPr>
        <w:t xml:space="preserve"> be introduced soon. </w:t>
      </w:r>
      <w:r w:rsidR="0084427A">
        <w:rPr>
          <w:rFonts w:cs="Arial"/>
          <w:szCs w:val="24"/>
          <w:lang w:eastAsia="ja-JP"/>
        </w:rPr>
        <w:t>There is potential to make some schemes permanent as an increase in pedestrian space is beneficial to the local economy</w:t>
      </w:r>
      <w:r w:rsidR="0085375D">
        <w:rPr>
          <w:rFonts w:cs="Arial"/>
          <w:szCs w:val="24"/>
          <w:lang w:eastAsia="ja-JP"/>
        </w:rPr>
        <w:t xml:space="preserve"> although this would require f</w:t>
      </w:r>
      <w:r w:rsidR="0084427A">
        <w:rPr>
          <w:rFonts w:cs="Arial"/>
          <w:szCs w:val="24"/>
          <w:lang w:eastAsia="ja-JP"/>
        </w:rPr>
        <w:t>urther consultation</w:t>
      </w:r>
      <w:r w:rsidR="0085375D">
        <w:rPr>
          <w:rFonts w:cs="Arial"/>
          <w:szCs w:val="24"/>
          <w:lang w:eastAsia="ja-JP"/>
        </w:rPr>
        <w:t>.</w:t>
      </w:r>
    </w:p>
    <w:p w14:paraId="0D1AB664" w14:textId="77777777" w:rsidR="00E418DF" w:rsidRDefault="00E418DF" w:rsidP="0085375D">
      <w:pPr>
        <w:jc w:val="both"/>
        <w:rPr>
          <w:rFonts w:cs="Arial"/>
          <w:szCs w:val="24"/>
          <w:lang w:eastAsia="ja-JP"/>
        </w:rPr>
      </w:pPr>
    </w:p>
    <w:p w14:paraId="1463C7D4" w14:textId="5C18A698" w:rsidR="002D4C6F" w:rsidRDefault="00E2281E" w:rsidP="0085375D">
      <w:pPr>
        <w:jc w:val="both"/>
        <w:rPr>
          <w:rFonts w:cs="Arial"/>
          <w:szCs w:val="24"/>
          <w:lang w:eastAsia="ja-JP"/>
        </w:rPr>
      </w:pPr>
      <w:r>
        <w:rPr>
          <w:rFonts w:cs="Arial"/>
          <w:szCs w:val="24"/>
          <w:lang w:eastAsia="ja-JP"/>
        </w:rPr>
        <w:t xml:space="preserve">Proposals for </w:t>
      </w:r>
      <w:r w:rsidR="002D4C6F">
        <w:rPr>
          <w:rFonts w:cs="Arial"/>
          <w:szCs w:val="24"/>
          <w:lang w:eastAsia="ja-JP"/>
        </w:rPr>
        <w:t xml:space="preserve">additional </w:t>
      </w:r>
      <w:r>
        <w:rPr>
          <w:rFonts w:cs="Arial"/>
          <w:szCs w:val="24"/>
          <w:lang w:eastAsia="ja-JP"/>
        </w:rPr>
        <w:t xml:space="preserve">cycling facilities are also included to encourage a greater uptake in cycling as an alternative means of travel due to the limited public transport capacity caused by social distancing and a need to restrict the volume of journeys by private car on the road network. </w:t>
      </w:r>
      <w:r w:rsidR="002D4C6F">
        <w:rPr>
          <w:rFonts w:cs="Arial"/>
          <w:szCs w:val="24"/>
          <w:lang w:eastAsia="ja-JP"/>
        </w:rPr>
        <w:t>The volume of cycling has already increased as a consequence of the crisis and there is an opportunity to maximise the proportion of active travel and the associated health benefits.</w:t>
      </w:r>
      <w:r w:rsidR="00E418DF">
        <w:rPr>
          <w:rFonts w:cs="Arial"/>
          <w:szCs w:val="24"/>
          <w:lang w:eastAsia="ja-JP"/>
        </w:rPr>
        <w:t xml:space="preserve"> Four schemes have been developed where road space will be reallocated from vehicles to cycles along key routes at Honeypot Lane, Sheepcote Road, Uxbridge Road and George V Avenue.</w:t>
      </w:r>
      <w:r w:rsidR="0084427A">
        <w:rPr>
          <w:rFonts w:cs="Arial"/>
          <w:szCs w:val="24"/>
          <w:lang w:eastAsia="ja-JP"/>
        </w:rPr>
        <w:t xml:space="preserve"> Cycling has been Harrow’s weakest mode share and so there is a real opportunity to increase the mode share by introducing these schemes permanently.</w:t>
      </w:r>
    </w:p>
    <w:p w14:paraId="380659B5" w14:textId="77777777" w:rsidR="002D4C6F" w:rsidRDefault="002D4C6F" w:rsidP="0085375D">
      <w:pPr>
        <w:jc w:val="both"/>
        <w:rPr>
          <w:rFonts w:cs="Arial"/>
          <w:szCs w:val="24"/>
          <w:lang w:eastAsia="ja-JP"/>
        </w:rPr>
      </w:pPr>
    </w:p>
    <w:p w14:paraId="07741481" w14:textId="4A0486D3" w:rsidR="00E418DF" w:rsidRDefault="002D4C6F" w:rsidP="0085375D">
      <w:pPr>
        <w:jc w:val="both"/>
        <w:rPr>
          <w:rFonts w:cs="Arial"/>
          <w:szCs w:val="24"/>
          <w:lang w:eastAsia="ja-JP"/>
        </w:rPr>
      </w:pPr>
      <w:r>
        <w:rPr>
          <w:rFonts w:cs="Arial"/>
          <w:szCs w:val="24"/>
          <w:lang w:eastAsia="ja-JP"/>
        </w:rPr>
        <w:t xml:space="preserve">Low traffic neighbourhoods and school streets will create residential areas that limit through vehicle traffic in residential estates and schools in favour of walking and cycling. </w:t>
      </w:r>
      <w:r w:rsidR="00E418DF">
        <w:rPr>
          <w:rFonts w:cs="Arial"/>
          <w:szCs w:val="24"/>
          <w:lang w:eastAsia="ja-JP"/>
        </w:rPr>
        <w:t>Nine low traffic neighbourhoods and four school street proposals are currently being developed.</w:t>
      </w:r>
      <w:r w:rsidR="0084427A">
        <w:rPr>
          <w:rFonts w:cs="Arial"/>
          <w:szCs w:val="24"/>
          <w:lang w:eastAsia="ja-JP"/>
        </w:rPr>
        <w:t xml:space="preserve"> The key benefits are to encourage more local walking and cycling and improved road safety and air quality.</w:t>
      </w:r>
    </w:p>
    <w:p w14:paraId="6FFA14A5" w14:textId="77777777" w:rsidR="00E418DF" w:rsidRDefault="00E418DF" w:rsidP="0085375D">
      <w:pPr>
        <w:jc w:val="both"/>
        <w:rPr>
          <w:rFonts w:cs="Arial"/>
          <w:szCs w:val="24"/>
          <w:lang w:eastAsia="ja-JP"/>
        </w:rPr>
      </w:pPr>
    </w:p>
    <w:p w14:paraId="67F6E989" w14:textId="1B0EFD3E" w:rsidR="00E418DF" w:rsidRDefault="00E418DF" w:rsidP="0085375D">
      <w:pPr>
        <w:jc w:val="both"/>
        <w:rPr>
          <w:rFonts w:cs="Arial"/>
          <w:szCs w:val="24"/>
          <w:lang w:eastAsia="ja-JP"/>
        </w:rPr>
      </w:pPr>
      <w:r>
        <w:rPr>
          <w:rFonts w:cs="Arial"/>
          <w:szCs w:val="24"/>
          <w:lang w:eastAsia="ja-JP"/>
        </w:rPr>
        <w:t xml:space="preserve">A community engagement portal has been setup to provide information about </w:t>
      </w:r>
      <w:r w:rsidR="0084427A">
        <w:rPr>
          <w:rFonts w:cs="Arial"/>
          <w:szCs w:val="24"/>
          <w:lang w:eastAsia="ja-JP"/>
        </w:rPr>
        <w:t xml:space="preserve">all of the schemes in </w:t>
      </w:r>
      <w:r>
        <w:rPr>
          <w:rFonts w:cs="Arial"/>
          <w:szCs w:val="24"/>
          <w:lang w:eastAsia="ja-JP"/>
        </w:rPr>
        <w:t xml:space="preserve">the programme in order to receive general </w:t>
      </w:r>
      <w:r w:rsidR="0084427A">
        <w:rPr>
          <w:rFonts w:cs="Arial"/>
          <w:szCs w:val="24"/>
          <w:lang w:eastAsia="ja-JP"/>
        </w:rPr>
        <w:t xml:space="preserve">ideas and </w:t>
      </w:r>
      <w:r>
        <w:rPr>
          <w:rFonts w:cs="Arial"/>
          <w:szCs w:val="24"/>
          <w:lang w:eastAsia="ja-JP"/>
        </w:rPr>
        <w:t xml:space="preserve">feedback, provide details of schemes and </w:t>
      </w:r>
      <w:r w:rsidR="0084427A">
        <w:rPr>
          <w:rFonts w:cs="Arial"/>
          <w:szCs w:val="24"/>
          <w:lang w:eastAsia="ja-JP"/>
        </w:rPr>
        <w:t xml:space="preserve">also </w:t>
      </w:r>
      <w:r>
        <w:rPr>
          <w:rFonts w:cs="Arial"/>
          <w:szCs w:val="24"/>
          <w:lang w:eastAsia="ja-JP"/>
        </w:rPr>
        <w:t xml:space="preserve">detailed feedback on schemes. This is the public focal point </w:t>
      </w:r>
      <w:r w:rsidR="0084427A">
        <w:rPr>
          <w:rFonts w:cs="Arial"/>
          <w:szCs w:val="24"/>
          <w:lang w:eastAsia="ja-JP"/>
        </w:rPr>
        <w:t>for the programme of works.</w:t>
      </w:r>
    </w:p>
    <w:p w14:paraId="2E140B74" w14:textId="77777777" w:rsidR="00E418DF" w:rsidRDefault="00E418DF" w:rsidP="0085375D">
      <w:pPr>
        <w:jc w:val="both"/>
        <w:rPr>
          <w:rFonts w:cs="Arial"/>
          <w:szCs w:val="24"/>
          <w:lang w:eastAsia="ja-JP"/>
        </w:rPr>
      </w:pPr>
    </w:p>
    <w:p w14:paraId="2DE68561" w14:textId="70963279" w:rsidR="000122A4" w:rsidRPr="0085375D" w:rsidRDefault="00E418DF" w:rsidP="0085375D">
      <w:pPr>
        <w:jc w:val="both"/>
        <w:rPr>
          <w:b/>
        </w:rPr>
      </w:pPr>
      <w:r>
        <w:rPr>
          <w:rFonts w:cs="Arial"/>
          <w:szCs w:val="24"/>
          <w:lang w:eastAsia="ja-JP"/>
        </w:rPr>
        <w:t>Additional</w:t>
      </w:r>
      <w:r w:rsidR="00E2281E" w:rsidRPr="00A062AF">
        <w:rPr>
          <w:rFonts w:cs="Arial"/>
          <w:szCs w:val="24"/>
          <w:lang w:eastAsia="ja-JP"/>
        </w:rPr>
        <w:t xml:space="preserve"> funds from Harrow’s High Street Fund </w:t>
      </w:r>
      <w:r>
        <w:rPr>
          <w:rFonts w:cs="Arial"/>
          <w:szCs w:val="24"/>
          <w:lang w:eastAsia="ja-JP"/>
        </w:rPr>
        <w:t xml:space="preserve">are also being considered for use in enhancing this programme of work </w:t>
      </w:r>
      <w:r w:rsidR="00E2281E" w:rsidRPr="00A062AF">
        <w:rPr>
          <w:rFonts w:cs="Arial"/>
          <w:szCs w:val="24"/>
          <w:lang w:eastAsia="ja-JP"/>
        </w:rPr>
        <w:t xml:space="preserve">to </w:t>
      </w:r>
      <w:r>
        <w:rPr>
          <w:rFonts w:cs="Arial"/>
          <w:szCs w:val="24"/>
          <w:lang w:eastAsia="ja-JP"/>
        </w:rPr>
        <w:t>maximise</w:t>
      </w:r>
      <w:r w:rsidR="00E2281E" w:rsidRPr="00A062AF">
        <w:rPr>
          <w:rFonts w:cs="Arial"/>
          <w:szCs w:val="24"/>
          <w:lang w:eastAsia="ja-JP"/>
        </w:rPr>
        <w:t xml:space="preserve"> the number of people walking a</w:t>
      </w:r>
      <w:r>
        <w:rPr>
          <w:rFonts w:cs="Arial"/>
          <w:szCs w:val="24"/>
          <w:lang w:eastAsia="ja-JP"/>
        </w:rPr>
        <w:t xml:space="preserve">nd cycling, particularly </w:t>
      </w:r>
      <w:r w:rsidR="0084427A">
        <w:rPr>
          <w:rFonts w:cs="Arial"/>
          <w:szCs w:val="24"/>
          <w:lang w:eastAsia="ja-JP"/>
        </w:rPr>
        <w:t xml:space="preserve">in and to </w:t>
      </w:r>
      <w:r>
        <w:rPr>
          <w:rFonts w:cs="Arial"/>
          <w:szCs w:val="24"/>
          <w:lang w:eastAsia="ja-JP"/>
        </w:rPr>
        <w:t>district</w:t>
      </w:r>
      <w:r w:rsidR="00E2281E" w:rsidRPr="00A062AF">
        <w:rPr>
          <w:rFonts w:cs="Arial"/>
          <w:szCs w:val="24"/>
          <w:lang w:eastAsia="ja-JP"/>
        </w:rPr>
        <w:t xml:space="preserve"> centres</w:t>
      </w:r>
      <w:r>
        <w:rPr>
          <w:rFonts w:cs="Arial"/>
          <w:szCs w:val="24"/>
          <w:lang w:eastAsia="ja-JP"/>
        </w:rPr>
        <w:t xml:space="preserve">. Ideas are being developed for South </w:t>
      </w:r>
      <w:r w:rsidR="0084427A">
        <w:rPr>
          <w:rFonts w:cs="Arial"/>
          <w:szCs w:val="24"/>
          <w:lang w:eastAsia="ja-JP"/>
        </w:rPr>
        <w:t>H</w:t>
      </w:r>
      <w:r>
        <w:rPr>
          <w:rFonts w:cs="Arial"/>
          <w:szCs w:val="24"/>
          <w:lang w:eastAsia="ja-JP"/>
        </w:rPr>
        <w:t>arrow, North Harrow and Rayners Lane currently</w:t>
      </w:r>
      <w:r w:rsidRPr="001B5842">
        <w:rPr>
          <w:rFonts w:cs="Arial"/>
          <w:szCs w:val="24"/>
          <w:lang w:eastAsia="ja-JP"/>
        </w:rPr>
        <w:t xml:space="preserve"> for wider mem</w:t>
      </w:r>
      <w:r>
        <w:rPr>
          <w:rFonts w:cs="Arial"/>
          <w:szCs w:val="24"/>
          <w:lang w:eastAsia="ja-JP"/>
        </w:rPr>
        <w:t xml:space="preserve">ber </w:t>
      </w:r>
      <w:r w:rsidR="001B5842">
        <w:rPr>
          <w:rFonts w:cs="Arial"/>
          <w:szCs w:val="24"/>
          <w:lang w:eastAsia="ja-JP"/>
        </w:rPr>
        <w:t>scrutiny.</w:t>
      </w:r>
    </w:p>
    <w:p w14:paraId="2C344AF1" w14:textId="2AD92759" w:rsidR="00E2281E" w:rsidRDefault="00E2281E" w:rsidP="0085375D"/>
    <w:p w14:paraId="67C74F68" w14:textId="643E2CF5" w:rsidR="0085375D" w:rsidRDefault="0085375D" w:rsidP="0085375D"/>
    <w:p w14:paraId="404FAD96" w14:textId="4BC333A0" w:rsidR="0085375D" w:rsidRDefault="0085375D" w:rsidP="0085375D"/>
    <w:p w14:paraId="1AA05CB1" w14:textId="1510A46E" w:rsidR="0085375D" w:rsidRDefault="0085375D" w:rsidP="0085375D"/>
    <w:p w14:paraId="227F60F2" w14:textId="77777777" w:rsidR="002D14F9" w:rsidRPr="00A62728" w:rsidRDefault="002D14F9" w:rsidP="00FD61BA">
      <w:pPr>
        <w:pStyle w:val="Heading1"/>
        <w:jc w:val="both"/>
      </w:pPr>
      <w:r w:rsidRPr="00667FB9">
        <w:t>Section</w:t>
      </w:r>
      <w:r w:rsidRPr="00A62728">
        <w:t xml:space="preserve"> </w:t>
      </w:r>
      <w:r w:rsidR="008B2B29">
        <w:t>6</w:t>
      </w:r>
      <w:r w:rsidRPr="00A62728">
        <w:t xml:space="preserve"> – Strategic Direction </w:t>
      </w:r>
    </w:p>
    <w:p w14:paraId="0BB6E016" w14:textId="77777777" w:rsidR="002D14F9" w:rsidRPr="00B45130" w:rsidRDefault="002D14F9" w:rsidP="00FD61BA">
      <w:pPr>
        <w:jc w:val="both"/>
        <w:rPr>
          <w:rFonts w:cs="Arial"/>
          <w:i/>
          <w:color w:val="4F6228"/>
          <w:szCs w:val="24"/>
          <w:highlight w:val="yellow"/>
        </w:rPr>
      </w:pPr>
    </w:p>
    <w:p w14:paraId="01BF5A01" w14:textId="77777777" w:rsidR="002D14F9" w:rsidRPr="00A62728" w:rsidRDefault="008B2B29" w:rsidP="00FD61BA">
      <w:pPr>
        <w:jc w:val="both"/>
        <w:rPr>
          <w:rFonts w:cs="Arial"/>
          <w:szCs w:val="24"/>
        </w:rPr>
      </w:pPr>
      <w:r w:rsidRPr="008B2B29">
        <w:rPr>
          <w:rFonts w:cs="Arial"/>
          <w:b/>
          <w:szCs w:val="24"/>
        </w:rPr>
        <w:t>6.</w:t>
      </w:r>
      <w:r w:rsidR="001429BD" w:rsidRPr="008B2B29">
        <w:rPr>
          <w:rFonts w:cs="Arial"/>
          <w:b/>
          <w:szCs w:val="24"/>
        </w:rPr>
        <w:t>1</w:t>
      </w:r>
      <w:r w:rsidR="002D14F9" w:rsidRPr="001429BD">
        <w:rPr>
          <w:rFonts w:cs="Arial"/>
          <w:szCs w:val="24"/>
        </w:rPr>
        <w:t xml:space="preserve"> The Regeneration Programme is overseen by the Council’s Building a</w:t>
      </w:r>
      <w:r w:rsidR="002D14F9" w:rsidRPr="00A62728">
        <w:rPr>
          <w:rFonts w:cs="Arial"/>
          <w:szCs w:val="24"/>
        </w:rPr>
        <w:t xml:space="preserve"> Better Harrow Board</w:t>
      </w:r>
      <w:r w:rsidR="008C032D">
        <w:rPr>
          <w:rFonts w:cs="Arial"/>
          <w:szCs w:val="24"/>
        </w:rPr>
        <w:t>.</w:t>
      </w:r>
      <w:r w:rsidR="002D14F9" w:rsidRPr="00A62728">
        <w:rPr>
          <w:rFonts w:cs="Arial"/>
          <w:szCs w:val="24"/>
        </w:rPr>
        <w:t xml:space="preserve"> </w:t>
      </w:r>
      <w:r w:rsidR="008C032D">
        <w:rPr>
          <w:rFonts w:cs="Arial"/>
          <w:szCs w:val="24"/>
        </w:rPr>
        <w:t>E</w:t>
      </w:r>
      <w:r w:rsidR="002D14F9" w:rsidRPr="00A62728">
        <w:rPr>
          <w:rFonts w:cs="Arial"/>
          <w:szCs w:val="24"/>
        </w:rPr>
        <w:t>stablished in January 2018 to</w:t>
      </w:r>
      <w:r w:rsidR="008C032D">
        <w:rPr>
          <w:rFonts w:cs="Arial"/>
          <w:szCs w:val="24"/>
        </w:rPr>
        <w:t>:</w:t>
      </w:r>
      <w:r w:rsidR="002D14F9" w:rsidRPr="00A62728">
        <w:rPr>
          <w:rFonts w:cs="Arial"/>
          <w:szCs w:val="24"/>
        </w:rPr>
        <w:t xml:space="preserve"> provide </w:t>
      </w:r>
      <w:r w:rsidR="008C032D">
        <w:rPr>
          <w:rFonts w:cs="Arial"/>
          <w:szCs w:val="24"/>
        </w:rPr>
        <w:t>(</w:t>
      </w:r>
      <w:r w:rsidR="002D14F9" w:rsidRPr="00A62728">
        <w:rPr>
          <w:rFonts w:cs="Arial"/>
          <w:szCs w:val="24"/>
        </w:rPr>
        <w:t>at Corporate Strategic Board level</w:t>
      </w:r>
      <w:r w:rsidR="008C032D">
        <w:rPr>
          <w:rFonts w:cs="Arial"/>
          <w:szCs w:val="24"/>
        </w:rPr>
        <w:t>)</w:t>
      </w:r>
      <w:r w:rsidR="002D14F9" w:rsidRPr="00A62728">
        <w:rPr>
          <w:rFonts w:cs="Arial"/>
          <w:szCs w:val="24"/>
        </w:rPr>
        <w:t xml:space="preserve"> an overarching strategic view of regeneration in its broadest sense across the </w:t>
      </w:r>
      <w:r w:rsidR="00313DCC">
        <w:rPr>
          <w:rFonts w:cs="Arial"/>
          <w:szCs w:val="24"/>
        </w:rPr>
        <w:t>c</w:t>
      </w:r>
      <w:r w:rsidR="00313DCC" w:rsidRPr="00A62728">
        <w:rPr>
          <w:rFonts w:cs="Arial"/>
          <w:szCs w:val="24"/>
        </w:rPr>
        <w:t>ouncil</w:t>
      </w:r>
      <w:r w:rsidR="008C032D">
        <w:rPr>
          <w:rFonts w:cs="Arial"/>
          <w:szCs w:val="24"/>
        </w:rPr>
        <w:t>;</w:t>
      </w:r>
      <w:r w:rsidR="002D14F9" w:rsidRPr="00A62728">
        <w:rPr>
          <w:rFonts w:cs="Arial"/>
          <w:szCs w:val="24"/>
        </w:rPr>
        <w:t xml:space="preserve"> to have a clear understanding of the links between investment, performance and outcomes</w:t>
      </w:r>
      <w:r w:rsidR="008C032D">
        <w:rPr>
          <w:rFonts w:cs="Arial"/>
          <w:szCs w:val="24"/>
        </w:rPr>
        <w:t>;</w:t>
      </w:r>
      <w:r w:rsidR="002D14F9" w:rsidRPr="00A62728">
        <w:rPr>
          <w:rFonts w:cs="Arial"/>
          <w:szCs w:val="24"/>
        </w:rPr>
        <w:t xml:space="preserve"> and to review and agree all regeneration projects before formal approval by Cabinet.</w:t>
      </w:r>
    </w:p>
    <w:p w14:paraId="24EC79B5" w14:textId="77777777" w:rsidR="002D14F9" w:rsidRPr="00A62728" w:rsidRDefault="002D14F9" w:rsidP="00FD61BA">
      <w:pPr>
        <w:jc w:val="both"/>
        <w:rPr>
          <w:rFonts w:cs="Arial"/>
          <w:szCs w:val="24"/>
          <w:highlight w:val="yellow"/>
        </w:rPr>
      </w:pPr>
    </w:p>
    <w:p w14:paraId="1F05E814" w14:textId="77777777" w:rsidR="002D14F9" w:rsidRPr="00A62728" w:rsidRDefault="008B2B29" w:rsidP="00FD61BA">
      <w:pPr>
        <w:jc w:val="both"/>
        <w:rPr>
          <w:rFonts w:cs="Arial"/>
          <w:szCs w:val="24"/>
        </w:rPr>
      </w:pPr>
      <w:r w:rsidRPr="008B2B29">
        <w:rPr>
          <w:rFonts w:cs="Arial"/>
          <w:b/>
          <w:szCs w:val="24"/>
        </w:rPr>
        <w:t>6.2</w:t>
      </w:r>
      <w:r w:rsidR="001429BD">
        <w:rPr>
          <w:rFonts w:cs="Arial"/>
          <w:szCs w:val="24"/>
        </w:rPr>
        <w:t xml:space="preserve"> </w:t>
      </w:r>
      <w:r w:rsidR="002D14F9" w:rsidRPr="00A62728">
        <w:rPr>
          <w:rFonts w:cs="Arial"/>
          <w:szCs w:val="24"/>
        </w:rPr>
        <w:t xml:space="preserve">The terms of reference </w:t>
      </w:r>
      <w:r w:rsidR="002D14F9">
        <w:rPr>
          <w:rFonts w:cs="Arial"/>
          <w:szCs w:val="24"/>
        </w:rPr>
        <w:t>for</w:t>
      </w:r>
      <w:r w:rsidR="002D14F9" w:rsidRPr="00A62728">
        <w:rPr>
          <w:rFonts w:cs="Arial"/>
          <w:szCs w:val="24"/>
        </w:rPr>
        <w:t xml:space="preserve"> the Board include: to take stock of wider interactions of regeneration programmes within the Council’s Ambition Plan, patterns of need in the community and service delivery across the range of </w:t>
      </w:r>
      <w:r w:rsidR="00313DCC">
        <w:rPr>
          <w:rFonts w:cs="Arial"/>
          <w:szCs w:val="24"/>
        </w:rPr>
        <w:t>c</w:t>
      </w:r>
      <w:r w:rsidR="00313DCC" w:rsidRPr="00A62728">
        <w:rPr>
          <w:rFonts w:cs="Arial"/>
          <w:szCs w:val="24"/>
        </w:rPr>
        <w:t xml:space="preserve">ouncil </w:t>
      </w:r>
      <w:r w:rsidR="002D14F9" w:rsidRPr="00A62728">
        <w:rPr>
          <w:rFonts w:cs="Arial"/>
          <w:szCs w:val="24"/>
        </w:rPr>
        <w:t>functions</w:t>
      </w:r>
      <w:r w:rsidR="008C032D">
        <w:rPr>
          <w:rFonts w:cs="Arial"/>
          <w:szCs w:val="24"/>
        </w:rPr>
        <w:t>,</w:t>
      </w:r>
      <w:r w:rsidR="002D14F9" w:rsidRPr="00A62728">
        <w:rPr>
          <w:rFonts w:cs="Arial"/>
          <w:szCs w:val="24"/>
        </w:rPr>
        <w:t xml:space="preserve"> for example: impact on homelessness, care provision, education</w:t>
      </w:r>
      <w:r w:rsidR="008C032D">
        <w:rPr>
          <w:rFonts w:cs="Arial"/>
          <w:szCs w:val="24"/>
        </w:rPr>
        <w:t xml:space="preserve"> and</w:t>
      </w:r>
      <w:r w:rsidR="002D14F9" w:rsidRPr="00A62728">
        <w:rPr>
          <w:rFonts w:cs="Arial"/>
          <w:szCs w:val="24"/>
        </w:rPr>
        <w:t xml:space="preserve"> health. </w:t>
      </w:r>
      <w:r w:rsidR="008C032D">
        <w:rPr>
          <w:rFonts w:cs="Arial"/>
          <w:szCs w:val="24"/>
        </w:rPr>
        <w:t>In addition, to look at the</w:t>
      </w:r>
      <w:r w:rsidR="002D14F9" w:rsidRPr="00A62728">
        <w:rPr>
          <w:rFonts w:cs="Arial"/>
          <w:szCs w:val="24"/>
        </w:rPr>
        <w:t xml:space="preserve"> broader economic impacts</w:t>
      </w:r>
      <w:r w:rsidR="008C032D">
        <w:rPr>
          <w:rFonts w:cs="Arial"/>
          <w:szCs w:val="24"/>
        </w:rPr>
        <w:t>,</w:t>
      </w:r>
      <w:r w:rsidR="002D14F9" w:rsidRPr="00A62728">
        <w:rPr>
          <w:rFonts w:cs="Arial"/>
          <w:szCs w:val="24"/>
        </w:rPr>
        <w:t xml:space="preserve"> such as business rates, employment and health of the town centre.  </w:t>
      </w:r>
    </w:p>
    <w:p w14:paraId="40A51125" w14:textId="77777777" w:rsidR="002D14F9" w:rsidRPr="00A62728" w:rsidRDefault="002D14F9" w:rsidP="00FD61BA">
      <w:pPr>
        <w:jc w:val="both"/>
        <w:rPr>
          <w:rFonts w:cs="Arial"/>
          <w:szCs w:val="24"/>
        </w:rPr>
      </w:pPr>
    </w:p>
    <w:p w14:paraId="178F9608" w14:textId="77777777" w:rsidR="002D14F9" w:rsidRDefault="008B2B29" w:rsidP="00FD61BA">
      <w:pPr>
        <w:jc w:val="both"/>
        <w:rPr>
          <w:rFonts w:cs="Arial"/>
          <w:szCs w:val="24"/>
        </w:rPr>
      </w:pPr>
      <w:r w:rsidRPr="008B2B29">
        <w:rPr>
          <w:rFonts w:cs="Arial"/>
          <w:b/>
          <w:szCs w:val="24"/>
        </w:rPr>
        <w:t>6.3</w:t>
      </w:r>
      <w:r w:rsidR="001429BD">
        <w:rPr>
          <w:rFonts w:cs="Arial"/>
          <w:szCs w:val="24"/>
        </w:rPr>
        <w:t xml:space="preserve"> </w:t>
      </w:r>
      <w:r w:rsidR="002D14F9" w:rsidRPr="00A62728">
        <w:rPr>
          <w:rFonts w:cs="Arial"/>
          <w:szCs w:val="24"/>
        </w:rPr>
        <w:t xml:space="preserve">The Board monitors the performance and budget of all regeneration projects across the </w:t>
      </w:r>
      <w:r w:rsidR="00313DCC">
        <w:rPr>
          <w:rFonts w:cs="Arial"/>
          <w:szCs w:val="24"/>
        </w:rPr>
        <w:t>c</w:t>
      </w:r>
      <w:r w:rsidR="00313DCC" w:rsidRPr="00A62728">
        <w:rPr>
          <w:rFonts w:cs="Arial"/>
          <w:szCs w:val="24"/>
        </w:rPr>
        <w:t xml:space="preserve">ouncil </w:t>
      </w:r>
      <w:r w:rsidR="002D14F9" w:rsidRPr="00A62728">
        <w:rPr>
          <w:rFonts w:cs="Arial"/>
          <w:szCs w:val="24"/>
        </w:rPr>
        <w:t xml:space="preserve">and provides CSB members with the opportunity to understand the wider remit of the current regeneration programme and interrelationships between different elements of the programme, including housing, extra care, the Harrow New Civic Centre, the Depot development and the </w:t>
      </w:r>
      <w:r w:rsidR="00C82820">
        <w:rPr>
          <w:rFonts w:cs="Arial"/>
          <w:szCs w:val="24"/>
        </w:rPr>
        <w:t>Poets’</w:t>
      </w:r>
      <w:r w:rsidR="002D14F9" w:rsidRPr="00A62728">
        <w:rPr>
          <w:rFonts w:cs="Arial"/>
          <w:szCs w:val="24"/>
        </w:rPr>
        <w:t xml:space="preserve"> Corner and Byron Quarter developments.</w:t>
      </w:r>
    </w:p>
    <w:p w14:paraId="7A7B5F5C" w14:textId="77777777" w:rsidR="00CA1E80" w:rsidRDefault="00CA1E80" w:rsidP="00FD61BA">
      <w:pPr>
        <w:jc w:val="both"/>
        <w:rPr>
          <w:rFonts w:cs="Arial"/>
          <w:szCs w:val="24"/>
        </w:rPr>
      </w:pPr>
    </w:p>
    <w:p w14:paraId="6A063DF0" w14:textId="77777777" w:rsidR="00CA1E80" w:rsidRPr="00A62728" w:rsidRDefault="008B2B29" w:rsidP="00FD61BA">
      <w:pPr>
        <w:jc w:val="both"/>
        <w:rPr>
          <w:rFonts w:cs="Arial"/>
          <w:szCs w:val="24"/>
        </w:rPr>
      </w:pPr>
      <w:r w:rsidRPr="008B2B29">
        <w:rPr>
          <w:rFonts w:cs="Arial"/>
          <w:b/>
          <w:szCs w:val="24"/>
        </w:rPr>
        <w:t>6.4</w:t>
      </w:r>
      <w:r w:rsidR="00CA1E80">
        <w:rPr>
          <w:rFonts w:cs="Arial"/>
          <w:szCs w:val="24"/>
        </w:rPr>
        <w:t xml:space="preserve"> The Council has </w:t>
      </w:r>
      <w:r w:rsidR="007278EF">
        <w:rPr>
          <w:rFonts w:cs="Arial"/>
          <w:szCs w:val="24"/>
        </w:rPr>
        <w:t xml:space="preserve">continued to take a </w:t>
      </w:r>
      <w:r w:rsidR="00CA1E80">
        <w:rPr>
          <w:rFonts w:cs="Arial"/>
          <w:szCs w:val="24"/>
        </w:rPr>
        <w:t xml:space="preserve">strategic and coordinated approach on all Council </w:t>
      </w:r>
      <w:r w:rsidR="007278EF">
        <w:rPr>
          <w:rFonts w:cs="Arial"/>
          <w:szCs w:val="24"/>
        </w:rPr>
        <w:t>p</w:t>
      </w:r>
      <w:r w:rsidR="00CA1E80">
        <w:rPr>
          <w:rFonts w:cs="Arial"/>
          <w:szCs w:val="24"/>
        </w:rPr>
        <w:t xml:space="preserve">rojects </w:t>
      </w:r>
      <w:r w:rsidR="007278EF">
        <w:rPr>
          <w:rFonts w:cs="Arial"/>
          <w:szCs w:val="24"/>
        </w:rPr>
        <w:t xml:space="preserve">throughout the </w:t>
      </w:r>
      <w:proofErr w:type="spellStart"/>
      <w:r w:rsidR="007278EF">
        <w:rPr>
          <w:rFonts w:cs="Arial"/>
          <w:szCs w:val="24"/>
        </w:rPr>
        <w:t>Covid</w:t>
      </w:r>
      <w:proofErr w:type="spellEnd"/>
      <w:r w:rsidR="007278EF">
        <w:rPr>
          <w:rFonts w:cs="Arial"/>
          <w:szCs w:val="24"/>
        </w:rPr>
        <w:t xml:space="preserve"> 19 crisis and l</w:t>
      </w:r>
      <w:r w:rsidR="00CA1E80">
        <w:rPr>
          <w:rFonts w:cs="Arial"/>
          <w:szCs w:val="24"/>
        </w:rPr>
        <w:t>ockdown</w:t>
      </w:r>
      <w:r w:rsidR="007278EF">
        <w:rPr>
          <w:rFonts w:cs="Arial"/>
          <w:szCs w:val="24"/>
        </w:rPr>
        <w:t xml:space="preserve">.  A Project team was established to ensure the consistent approach across all Live projects being delivered across the Council.  This was a great benefit to Council staff and assisted with accurate briefing to members and senior officers. </w:t>
      </w:r>
    </w:p>
    <w:p w14:paraId="0C830139" w14:textId="77777777" w:rsidR="002D14F9" w:rsidRPr="00A62728" w:rsidRDefault="002D14F9" w:rsidP="00FD61BA">
      <w:pPr>
        <w:jc w:val="both"/>
        <w:rPr>
          <w:rFonts w:cs="Arial"/>
          <w:szCs w:val="24"/>
          <w:highlight w:val="yellow"/>
        </w:rPr>
      </w:pPr>
    </w:p>
    <w:p w14:paraId="18D2A3CD" w14:textId="77777777" w:rsidR="00DD66D9" w:rsidRPr="008B2B29" w:rsidRDefault="008B2B29" w:rsidP="00DD66D9">
      <w:pPr>
        <w:pStyle w:val="Heading2"/>
        <w:jc w:val="both"/>
        <w:rPr>
          <w:sz w:val="24"/>
          <w:szCs w:val="24"/>
        </w:rPr>
      </w:pPr>
      <w:r w:rsidRPr="008B2B29">
        <w:rPr>
          <w:bCs w:val="0"/>
          <w:sz w:val="24"/>
          <w:szCs w:val="24"/>
        </w:rPr>
        <w:t xml:space="preserve">6.5 </w:t>
      </w:r>
      <w:r w:rsidR="00DD66D9" w:rsidRPr="008B2B29">
        <w:rPr>
          <w:sz w:val="24"/>
          <w:szCs w:val="24"/>
        </w:rPr>
        <w:t xml:space="preserve">Council Priorities </w:t>
      </w:r>
    </w:p>
    <w:p w14:paraId="63E2BCDF" w14:textId="77777777" w:rsidR="00DD66D9" w:rsidRPr="00B94A55" w:rsidRDefault="00DD66D9" w:rsidP="00DD66D9">
      <w:pPr>
        <w:jc w:val="both"/>
        <w:rPr>
          <w:sz w:val="16"/>
          <w:szCs w:val="16"/>
        </w:rPr>
      </w:pPr>
    </w:p>
    <w:p w14:paraId="0C74A935" w14:textId="77777777" w:rsidR="00DD66D9" w:rsidRPr="00581536" w:rsidRDefault="00DD66D9" w:rsidP="00DD66D9">
      <w:pPr>
        <w:jc w:val="both"/>
        <w:rPr>
          <w:rFonts w:cs="Arial"/>
          <w:szCs w:val="24"/>
        </w:rPr>
      </w:pPr>
      <w:r w:rsidRPr="00581536">
        <w:rPr>
          <w:rFonts w:cs="Arial"/>
          <w:szCs w:val="24"/>
        </w:rPr>
        <w:t xml:space="preserve">The updating of the planning policy framework for the Borough will not only enable the </w:t>
      </w:r>
      <w:r>
        <w:rPr>
          <w:rFonts w:cs="Arial"/>
          <w:szCs w:val="24"/>
        </w:rPr>
        <w:t>c</w:t>
      </w:r>
      <w:r w:rsidRPr="00581536">
        <w:rPr>
          <w:rFonts w:cs="Arial"/>
          <w:szCs w:val="24"/>
        </w:rPr>
        <w:t xml:space="preserve">ouncil to better control development but will assist in the delivery of the Harrow Ambition Plan: </w:t>
      </w:r>
    </w:p>
    <w:p w14:paraId="728C02D5" w14:textId="77777777" w:rsidR="00DD66D9" w:rsidRPr="00581536" w:rsidRDefault="00DD66D9" w:rsidP="00DD66D9">
      <w:pPr>
        <w:jc w:val="both"/>
        <w:rPr>
          <w:rFonts w:cs="Arial"/>
          <w:szCs w:val="24"/>
          <w:lang w:val="en-US"/>
        </w:rPr>
      </w:pPr>
    </w:p>
    <w:p w14:paraId="0055A882" w14:textId="77777777" w:rsidR="00DD66D9" w:rsidRPr="00581536" w:rsidRDefault="00DD66D9" w:rsidP="003522DF">
      <w:pPr>
        <w:numPr>
          <w:ilvl w:val="0"/>
          <w:numId w:val="2"/>
        </w:numPr>
        <w:tabs>
          <w:tab w:val="num" w:pos="-31680"/>
        </w:tabs>
        <w:spacing w:after="120"/>
        <w:jc w:val="both"/>
        <w:rPr>
          <w:rFonts w:cs="Arial"/>
          <w:szCs w:val="24"/>
        </w:rPr>
      </w:pPr>
      <w:r w:rsidRPr="00581536">
        <w:rPr>
          <w:rFonts w:cs="Arial"/>
          <w:szCs w:val="24"/>
        </w:rPr>
        <w:t>Building a Better Harrow by seeking to manage growth in a way that provides the housing, employment and infrastructure required by our residents, business and visitors in a sustainable manner, promoting good quality design and protecting our historic and natural heritage.</w:t>
      </w:r>
    </w:p>
    <w:p w14:paraId="712E31E7" w14:textId="77777777" w:rsidR="00DD66D9" w:rsidRPr="00581536" w:rsidRDefault="00DD66D9" w:rsidP="003522DF">
      <w:pPr>
        <w:numPr>
          <w:ilvl w:val="0"/>
          <w:numId w:val="2"/>
        </w:numPr>
        <w:tabs>
          <w:tab w:val="num" w:pos="-31680"/>
        </w:tabs>
        <w:spacing w:after="120"/>
        <w:jc w:val="both"/>
        <w:rPr>
          <w:rFonts w:cs="Arial"/>
          <w:szCs w:val="24"/>
        </w:rPr>
      </w:pPr>
      <w:r w:rsidRPr="00581536">
        <w:rPr>
          <w:rFonts w:cs="Arial"/>
          <w:szCs w:val="24"/>
        </w:rPr>
        <w:t>Being more Business-like and Business Friendly by supporting our town centres, our local shopping centres and businesses by promoting new development opportunities within our town centres and securing new business and employment through enabling development.</w:t>
      </w:r>
    </w:p>
    <w:p w14:paraId="143D7158" w14:textId="53B8855A" w:rsidR="00DD66D9" w:rsidRDefault="00DD66D9" w:rsidP="003522DF">
      <w:pPr>
        <w:numPr>
          <w:ilvl w:val="0"/>
          <w:numId w:val="2"/>
        </w:numPr>
        <w:tabs>
          <w:tab w:val="num" w:pos="-31680"/>
        </w:tabs>
        <w:spacing w:after="120"/>
        <w:jc w:val="both"/>
        <w:rPr>
          <w:rFonts w:cs="Arial"/>
          <w:szCs w:val="24"/>
        </w:rPr>
      </w:pPr>
      <w:r w:rsidRPr="00581536">
        <w:rPr>
          <w:rFonts w:cs="Arial"/>
          <w:szCs w:val="24"/>
        </w:rPr>
        <w:t xml:space="preserve">Protecting the Most Vulnerable and Supporting Families through supporting and protecting people who are most in need through securing affording housing, including supported accommodation and by securing new and enhances social and physical infrastructure. Making </w:t>
      </w:r>
      <w:r w:rsidRPr="00581536">
        <w:rPr>
          <w:rFonts w:cs="Arial"/>
          <w:szCs w:val="24"/>
        </w:rPr>
        <w:lastRenderedPageBreak/>
        <w:t>a difference for families by preventing the loss of further open space; implementing the Harrow Green Grid; and ensuring new development incorporates designing out crime principles.</w:t>
      </w:r>
    </w:p>
    <w:p w14:paraId="68E0B565" w14:textId="77777777" w:rsidR="009B77BF" w:rsidRPr="00581536" w:rsidRDefault="009B77BF" w:rsidP="009B77BF">
      <w:pPr>
        <w:spacing w:after="120"/>
        <w:ind w:left="720"/>
        <w:jc w:val="both"/>
        <w:rPr>
          <w:rFonts w:cs="Arial"/>
          <w:szCs w:val="24"/>
        </w:rPr>
      </w:pPr>
    </w:p>
    <w:p w14:paraId="5C40C74F" w14:textId="77777777" w:rsidR="002D14F9" w:rsidRPr="008B2B29" w:rsidRDefault="008B2B29" w:rsidP="00FD61BA">
      <w:pPr>
        <w:pStyle w:val="Heading2"/>
        <w:jc w:val="both"/>
        <w:rPr>
          <w:sz w:val="24"/>
          <w:szCs w:val="24"/>
        </w:rPr>
      </w:pPr>
      <w:r w:rsidRPr="008B2B29">
        <w:rPr>
          <w:rFonts w:cs="Times New Roman"/>
          <w:bCs w:val="0"/>
          <w:sz w:val="24"/>
          <w:szCs w:val="24"/>
        </w:rPr>
        <w:t xml:space="preserve">6.6 </w:t>
      </w:r>
      <w:r w:rsidR="002D14F9" w:rsidRPr="008B2B29">
        <w:rPr>
          <w:sz w:val="24"/>
          <w:szCs w:val="24"/>
        </w:rPr>
        <w:t xml:space="preserve">Risk Management Implications </w:t>
      </w:r>
    </w:p>
    <w:p w14:paraId="3C2AF70B" w14:textId="77777777" w:rsidR="002D14F9" w:rsidRPr="00A62728" w:rsidRDefault="002D14F9" w:rsidP="00FD61BA">
      <w:pPr>
        <w:tabs>
          <w:tab w:val="left" w:pos="5610"/>
        </w:tabs>
        <w:ind w:right="81"/>
        <w:jc w:val="both"/>
        <w:rPr>
          <w:rFonts w:cs="Arial"/>
          <w:szCs w:val="24"/>
          <w:lang w:val="en-US"/>
        </w:rPr>
      </w:pPr>
    </w:p>
    <w:p w14:paraId="57543690" w14:textId="77777777" w:rsidR="00587D06" w:rsidRPr="00587D06" w:rsidRDefault="00587D06" w:rsidP="00FD61BA">
      <w:pPr>
        <w:tabs>
          <w:tab w:val="left" w:pos="5610"/>
        </w:tabs>
        <w:ind w:right="81"/>
        <w:jc w:val="both"/>
        <w:rPr>
          <w:rFonts w:cs="Arial"/>
          <w:iCs/>
          <w:szCs w:val="24"/>
        </w:rPr>
      </w:pPr>
      <w:r w:rsidRPr="00587D06">
        <w:rPr>
          <w:rFonts w:cs="Arial"/>
          <w:szCs w:val="24"/>
          <w:lang w:val="en-US"/>
        </w:rPr>
        <w:t xml:space="preserve">Risk included in Corporate Risk Register </w:t>
      </w:r>
      <w:r w:rsidRPr="00587D06">
        <w:rPr>
          <w:rFonts w:cs="Arial"/>
          <w:iCs/>
          <w:szCs w:val="24"/>
        </w:rPr>
        <w:t>as at Q4 2019/20 was rated as medium likelihood with a critical impact.</w:t>
      </w:r>
      <w:r w:rsidR="0069299F">
        <w:rPr>
          <w:rFonts w:cs="Arial"/>
          <w:iCs/>
          <w:szCs w:val="24"/>
        </w:rPr>
        <w:t xml:space="preserve">  Please see appendix 1</w:t>
      </w:r>
    </w:p>
    <w:p w14:paraId="54BE1CC9" w14:textId="77777777" w:rsidR="00587D06" w:rsidRPr="00587D06" w:rsidRDefault="00587D06" w:rsidP="00FD61BA">
      <w:pPr>
        <w:tabs>
          <w:tab w:val="left" w:pos="5610"/>
        </w:tabs>
        <w:ind w:right="81"/>
        <w:jc w:val="both"/>
        <w:rPr>
          <w:rFonts w:cs="Arial"/>
          <w:szCs w:val="24"/>
          <w:lang w:val="en-US"/>
        </w:rPr>
      </w:pPr>
    </w:p>
    <w:p w14:paraId="1C632922" w14:textId="77777777" w:rsidR="00587D06" w:rsidRPr="00587D06" w:rsidRDefault="00587D06" w:rsidP="00FD61BA">
      <w:pPr>
        <w:tabs>
          <w:tab w:val="left" w:pos="5610"/>
        </w:tabs>
        <w:ind w:right="81"/>
        <w:jc w:val="both"/>
        <w:rPr>
          <w:rFonts w:cs="Arial"/>
          <w:szCs w:val="24"/>
          <w:lang w:val="en-US"/>
        </w:rPr>
      </w:pPr>
      <w:r w:rsidRPr="00587D06">
        <w:rPr>
          <w:rFonts w:cs="Arial"/>
          <w:szCs w:val="24"/>
          <w:lang w:val="en-US"/>
        </w:rPr>
        <w:t xml:space="preserve">As part of the governance arrangements for the Regeneration </w:t>
      </w:r>
      <w:proofErr w:type="spellStart"/>
      <w:r w:rsidRPr="00587D06">
        <w:rPr>
          <w:rFonts w:cs="Arial"/>
          <w:szCs w:val="24"/>
          <w:lang w:val="en-US"/>
        </w:rPr>
        <w:t>Programme</w:t>
      </w:r>
      <w:proofErr w:type="spellEnd"/>
      <w:r w:rsidRPr="00587D06">
        <w:rPr>
          <w:rFonts w:cs="Arial"/>
          <w:szCs w:val="24"/>
          <w:lang w:val="en-US"/>
        </w:rPr>
        <w:t>, risks are to be assessed at a project level and at individual project boards. These will then be reported up to Building A Better Harrow Board on a monthly basis and through onto Cabinet on a quarterly basis, in line with the corporate governance arrangements.</w:t>
      </w:r>
    </w:p>
    <w:p w14:paraId="232DB639" w14:textId="77777777" w:rsidR="002D14F9" w:rsidRDefault="002D14F9" w:rsidP="00FD61BA">
      <w:pPr>
        <w:tabs>
          <w:tab w:val="left" w:pos="5610"/>
        </w:tabs>
        <w:ind w:right="81"/>
        <w:jc w:val="both"/>
        <w:rPr>
          <w:rFonts w:cs="Arial"/>
          <w:szCs w:val="24"/>
          <w:lang w:val="en-US"/>
        </w:rPr>
      </w:pPr>
    </w:p>
    <w:p w14:paraId="2BB47D61" w14:textId="77777777" w:rsidR="002D14F9" w:rsidRPr="008B2B29" w:rsidRDefault="008B2B29" w:rsidP="00FD61BA">
      <w:pPr>
        <w:pStyle w:val="Heading2"/>
        <w:jc w:val="both"/>
        <w:rPr>
          <w:sz w:val="24"/>
          <w:szCs w:val="24"/>
        </w:rPr>
      </w:pPr>
      <w:r w:rsidRPr="008B2B29">
        <w:rPr>
          <w:sz w:val="24"/>
          <w:szCs w:val="24"/>
        </w:rPr>
        <w:t xml:space="preserve">6.7 </w:t>
      </w:r>
      <w:r w:rsidR="002D14F9" w:rsidRPr="008B2B29">
        <w:rPr>
          <w:sz w:val="24"/>
          <w:szCs w:val="24"/>
        </w:rPr>
        <w:t xml:space="preserve">Procurement Implications </w:t>
      </w:r>
    </w:p>
    <w:p w14:paraId="463AAF74" w14:textId="77777777" w:rsidR="002D14F9" w:rsidRDefault="002D14F9" w:rsidP="00FD61BA">
      <w:pPr>
        <w:jc w:val="both"/>
      </w:pPr>
    </w:p>
    <w:p w14:paraId="5469DE57" w14:textId="77777777" w:rsidR="002D14F9" w:rsidRDefault="002D14F9" w:rsidP="00FD61BA">
      <w:pPr>
        <w:jc w:val="both"/>
      </w:pPr>
      <w:r w:rsidRPr="002171B4">
        <w:t>Any procurement arising</w:t>
      </w:r>
      <w:r>
        <w:t xml:space="preserve"> from the updated Regeneration S</w:t>
      </w:r>
      <w:r w:rsidRPr="002171B4">
        <w:t xml:space="preserve">trategy will be supported by the </w:t>
      </w:r>
      <w:r>
        <w:t>Council</w:t>
      </w:r>
      <w:r w:rsidR="00313DCC">
        <w:t>’</w:t>
      </w:r>
      <w:r>
        <w:t xml:space="preserve">s </w:t>
      </w:r>
      <w:r w:rsidRPr="002171B4">
        <w:t>Procurement Team and will comply with the Council’s Contract Procedure Rules and Public Contract Regulations 2015</w:t>
      </w:r>
      <w:r>
        <w:t>.</w:t>
      </w:r>
    </w:p>
    <w:p w14:paraId="7C838A57" w14:textId="77777777" w:rsidR="00F667FD" w:rsidRPr="00667FB9" w:rsidRDefault="00F667FD" w:rsidP="00FD61BA">
      <w:pPr>
        <w:jc w:val="both"/>
        <w:rPr>
          <w:b/>
          <w:sz w:val="28"/>
          <w:szCs w:val="24"/>
        </w:rPr>
      </w:pPr>
    </w:p>
    <w:p w14:paraId="5D5F2A88" w14:textId="77777777" w:rsidR="002D14F9" w:rsidRPr="008B2B29" w:rsidRDefault="008B2B29" w:rsidP="00FD61BA">
      <w:pPr>
        <w:pStyle w:val="Heading2"/>
        <w:jc w:val="both"/>
        <w:rPr>
          <w:sz w:val="24"/>
          <w:szCs w:val="24"/>
        </w:rPr>
      </w:pPr>
      <w:r>
        <w:rPr>
          <w:sz w:val="24"/>
          <w:szCs w:val="24"/>
        </w:rPr>
        <w:t>6.8</w:t>
      </w:r>
      <w:r w:rsidR="001429BD" w:rsidRPr="008B2B29">
        <w:rPr>
          <w:sz w:val="24"/>
          <w:szCs w:val="24"/>
        </w:rPr>
        <w:t xml:space="preserve"> </w:t>
      </w:r>
      <w:r w:rsidR="002D14F9" w:rsidRPr="008B2B29">
        <w:rPr>
          <w:sz w:val="24"/>
          <w:szCs w:val="24"/>
        </w:rPr>
        <w:t xml:space="preserve">Legal Implications </w:t>
      </w:r>
    </w:p>
    <w:p w14:paraId="26EF9839" w14:textId="77777777" w:rsidR="002D14F9" w:rsidRDefault="002D14F9" w:rsidP="00FD61BA">
      <w:pPr>
        <w:jc w:val="both"/>
        <w:rPr>
          <w:rFonts w:cs="Arial"/>
        </w:rPr>
      </w:pPr>
    </w:p>
    <w:p w14:paraId="50AF7D00" w14:textId="77777777" w:rsidR="002D14F9" w:rsidRPr="002171B4" w:rsidRDefault="002D14F9" w:rsidP="00FD61BA">
      <w:pPr>
        <w:jc w:val="both"/>
        <w:rPr>
          <w:rFonts w:cs="Arial"/>
        </w:rPr>
      </w:pPr>
      <w:r w:rsidRPr="002171B4">
        <w:rPr>
          <w:rFonts w:cs="Arial"/>
        </w:rPr>
        <w:t xml:space="preserve">The </w:t>
      </w:r>
      <w:r w:rsidR="00313DCC">
        <w:rPr>
          <w:rFonts w:cs="Arial"/>
        </w:rPr>
        <w:t>c</w:t>
      </w:r>
      <w:r w:rsidR="00313DCC" w:rsidRPr="002171B4">
        <w:rPr>
          <w:rFonts w:cs="Arial"/>
        </w:rPr>
        <w:t xml:space="preserve">ouncil </w:t>
      </w:r>
      <w:r w:rsidRPr="002171B4">
        <w:rPr>
          <w:rFonts w:cs="Arial"/>
        </w:rPr>
        <w:t>has a range of powers to enter into the contractual arrangements arising from the regeneration programme, including the general power of competence under Section 1 of the Localism Act 2011 to do anything that individuals can do subject to any specific restrictions contained in legislation.</w:t>
      </w:r>
    </w:p>
    <w:p w14:paraId="775B4EF9" w14:textId="77777777" w:rsidR="002D14F9" w:rsidRPr="002171B4" w:rsidRDefault="00684EF1" w:rsidP="00FD61BA">
      <w:pPr>
        <w:spacing w:before="100" w:beforeAutospacing="1" w:after="100" w:afterAutospacing="1"/>
        <w:jc w:val="both"/>
        <w:rPr>
          <w:rFonts w:cs="Arial"/>
        </w:rPr>
      </w:pPr>
      <w:r w:rsidRPr="003D49BF">
        <w:rPr>
          <w:rFonts w:eastAsia="Calibri" w:cs="Arial"/>
          <w:szCs w:val="22"/>
          <w:lang w:eastAsia="en-GB"/>
        </w:rPr>
        <w:t xml:space="preserve">The </w:t>
      </w:r>
      <w:r w:rsidR="00313DCC">
        <w:rPr>
          <w:rFonts w:eastAsia="Calibri" w:cs="Arial"/>
          <w:szCs w:val="22"/>
          <w:lang w:eastAsia="en-GB"/>
        </w:rPr>
        <w:t>c</w:t>
      </w:r>
      <w:r w:rsidR="00313DCC" w:rsidRPr="003D49BF">
        <w:rPr>
          <w:rFonts w:eastAsia="Calibri" w:cs="Arial"/>
          <w:szCs w:val="22"/>
          <w:lang w:eastAsia="en-GB"/>
        </w:rPr>
        <w:t xml:space="preserve">ouncil </w:t>
      </w:r>
      <w:r w:rsidRPr="003D49BF">
        <w:rPr>
          <w:rFonts w:eastAsia="Calibri" w:cs="Arial"/>
          <w:szCs w:val="22"/>
          <w:lang w:eastAsia="en-GB"/>
        </w:rPr>
        <w:t xml:space="preserve">also has the power to acquire and dispose of land by agreement in accordance with Sections 120 and 123 of the Local Government Act 1972 subject to obtaining all appropriate consents and approvals and ensuring that any disposals of a freehold interest or leasehold interest for more than seven years are for a consideration that is the best that can reasonably be obtained (unless </w:t>
      </w:r>
      <w:r w:rsidR="007E77E0">
        <w:rPr>
          <w:rFonts w:eastAsia="Calibri" w:cs="Arial"/>
          <w:szCs w:val="22"/>
          <w:lang w:eastAsia="en-GB"/>
        </w:rPr>
        <w:t>S</w:t>
      </w:r>
      <w:r w:rsidR="007E77E0" w:rsidRPr="003D49BF">
        <w:rPr>
          <w:rFonts w:eastAsia="Calibri" w:cs="Arial"/>
          <w:szCs w:val="22"/>
          <w:lang w:eastAsia="en-GB"/>
        </w:rPr>
        <w:t xml:space="preserve">ecretary </w:t>
      </w:r>
      <w:r w:rsidRPr="003D49BF">
        <w:rPr>
          <w:rFonts w:eastAsia="Calibri" w:cs="Arial"/>
          <w:szCs w:val="22"/>
          <w:lang w:eastAsia="en-GB"/>
        </w:rPr>
        <w:t xml:space="preserve">of </w:t>
      </w:r>
      <w:r w:rsidR="007E77E0">
        <w:rPr>
          <w:rFonts w:eastAsia="Calibri" w:cs="Arial"/>
          <w:szCs w:val="22"/>
          <w:lang w:eastAsia="en-GB"/>
        </w:rPr>
        <w:t>S</w:t>
      </w:r>
      <w:r w:rsidR="007E77E0" w:rsidRPr="003D49BF">
        <w:rPr>
          <w:rFonts w:eastAsia="Calibri" w:cs="Arial"/>
          <w:szCs w:val="22"/>
          <w:lang w:eastAsia="en-GB"/>
        </w:rPr>
        <w:t xml:space="preserve">tate </w:t>
      </w:r>
      <w:r w:rsidRPr="003D49BF">
        <w:rPr>
          <w:rFonts w:eastAsia="Calibri" w:cs="Arial"/>
          <w:szCs w:val="22"/>
          <w:lang w:eastAsia="en-GB"/>
        </w:rPr>
        <w:t>consent is obtained</w:t>
      </w:r>
      <w:r w:rsidRPr="00684EF1">
        <w:rPr>
          <w:rFonts w:eastAsia="Calibri" w:cs="Arial"/>
          <w:sz w:val="22"/>
          <w:szCs w:val="22"/>
          <w:lang w:eastAsia="en-GB"/>
        </w:rPr>
        <w:t>).</w:t>
      </w:r>
    </w:p>
    <w:p w14:paraId="04F1AED5" w14:textId="77777777" w:rsidR="00050E5B" w:rsidRDefault="002D14F9" w:rsidP="00FD61BA">
      <w:pPr>
        <w:jc w:val="both"/>
        <w:rPr>
          <w:rFonts w:cs="Arial"/>
        </w:rPr>
      </w:pPr>
      <w:r w:rsidRPr="002171B4">
        <w:rPr>
          <w:rFonts w:cs="Arial"/>
        </w:rPr>
        <w:t>All procurement activity of works and services must be carried out in compliance with the Public Contracts Regulations 2015 and Council Contract Procedure Rules.</w:t>
      </w:r>
    </w:p>
    <w:p w14:paraId="46CCC4F8" w14:textId="77777777" w:rsidR="003701A7" w:rsidRDefault="003701A7" w:rsidP="00FD61BA">
      <w:pPr>
        <w:jc w:val="both"/>
        <w:rPr>
          <w:rFonts w:cs="Arial"/>
        </w:rPr>
      </w:pPr>
    </w:p>
    <w:p w14:paraId="38AD42A6" w14:textId="77777777" w:rsidR="006108BA" w:rsidRPr="008B2B29" w:rsidRDefault="008B2B29" w:rsidP="00FD61BA">
      <w:pPr>
        <w:pStyle w:val="Heading2"/>
        <w:jc w:val="both"/>
        <w:rPr>
          <w:sz w:val="24"/>
          <w:szCs w:val="24"/>
        </w:rPr>
      </w:pPr>
      <w:r w:rsidRPr="008B2B29">
        <w:rPr>
          <w:bCs w:val="0"/>
          <w:sz w:val="24"/>
          <w:szCs w:val="24"/>
        </w:rPr>
        <w:t xml:space="preserve">6.9 </w:t>
      </w:r>
      <w:r w:rsidR="006108BA" w:rsidRPr="008B2B29">
        <w:rPr>
          <w:sz w:val="24"/>
          <w:szCs w:val="24"/>
        </w:rPr>
        <w:t xml:space="preserve">Financial Implications </w:t>
      </w:r>
    </w:p>
    <w:p w14:paraId="69E2AB00" w14:textId="77777777" w:rsidR="006108BA" w:rsidRDefault="006108BA" w:rsidP="00FD61BA">
      <w:pPr>
        <w:jc w:val="both"/>
      </w:pPr>
    </w:p>
    <w:p w14:paraId="37C710E4" w14:textId="77777777" w:rsidR="0080743D" w:rsidRPr="00D7237B" w:rsidRDefault="0080743D" w:rsidP="00FD61BA">
      <w:pPr>
        <w:jc w:val="both"/>
        <w:rPr>
          <w:rFonts w:eastAsia="Calibri" w:cs="Arial"/>
          <w:szCs w:val="24"/>
          <w:lang w:eastAsia="en-GB"/>
        </w:rPr>
      </w:pPr>
      <w:r w:rsidRPr="00D7237B">
        <w:rPr>
          <w:rFonts w:eastAsia="Calibri" w:cs="Arial"/>
          <w:szCs w:val="24"/>
          <w:lang w:eastAsia="en-GB"/>
        </w:rPr>
        <w:t xml:space="preserve">In 2019/20 there are </w:t>
      </w:r>
      <w:r>
        <w:rPr>
          <w:rFonts w:eastAsia="Calibri" w:cs="Arial"/>
          <w:szCs w:val="24"/>
          <w:lang w:eastAsia="en-GB"/>
        </w:rPr>
        <w:t xml:space="preserve">eight </w:t>
      </w:r>
      <w:r w:rsidRPr="00D7237B">
        <w:rPr>
          <w:rFonts w:eastAsia="Calibri" w:cs="Arial"/>
          <w:szCs w:val="24"/>
          <w:lang w:eastAsia="en-GB"/>
        </w:rPr>
        <w:t>council projects proceeding which require capital investment:</w:t>
      </w:r>
    </w:p>
    <w:p w14:paraId="6ADFD843" w14:textId="77777777" w:rsidR="0080743D" w:rsidRPr="00D7237B" w:rsidRDefault="0080743D" w:rsidP="00FD61BA">
      <w:pPr>
        <w:jc w:val="both"/>
        <w:rPr>
          <w:rFonts w:eastAsia="Calibri" w:cs="Arial"/>
          <w:szCs w:val="24"/>
          <w:lang w:eastAsia="en-GB"/>
        </w:rPr>
      </w:pPr>
    </w:p>
    <w:p w14:paraId="28786F96" w14:textId="77777777" w:rsidR="0080743D" w:rsidRPr="004B5DC6" w:rsidRDefault="0080743D" w:rsidP="003522DF">
      <w:pPr>
        <w:pStyle w:val="ListParagraph"/>
        <w:numPr>
          <w:ilvl w:val="0"/>
          <w:numId w:val="3"/>
        </w:numPr>
        <w:jc w:val="both"/>
        <w:rPr>
          <w:rFonts w:eastAsia="Calibri" w:cs="Arial"/>
          <w:szCs w:val="24"/>
          <w:lang w:eastAsia="en-GB"/>
        </w:rPr>
      </w:pPr>
      <w:r w:rsidRPr="004B5DC6">
        <w:rPr>
          <w:rFonts w:eastAsia="Calibri" w:cs="Arial"/>
          <w:szCs w:val="24"/>
          <w:lang w:eastAsia="en-GB"/>
        </w:rPr>
        <w:t>Harrow New Civic Centre</w:t>
      </w:r>
    </w:p>
    <w:p w14:paraId="2F5DA10A" w14:textId="77777777" w:rsidR="0080743D" w:rsidRPr="004B5DC6" w:rsidRDefault="0080743D" w:rsidP="003522DF">
      <w:pPr>
        <w:pStyle w:val="ListParagraph"/>
        <w:numPr>
          <w:ilvl w:val="0"/>
          <w:numId w:val="3"/>
        </w:numPr>
        <w:jc w:val="both"/>
        <w:rPr>
          <w:rFonts w:eastAsia="Calibri" w:cs="Arial"/>
          <w:szCs w:val="24"/>
          <w:lang w:eastAsia="en-GB"/>
        </w:rPr>
      </w:pPr>
      <w:r>
        <w:rPr>
          <w:rFonts w:eastAsia="Calibri" w:cs="Arial"/>
          <w:szCs w:val="24"/>
          <w:lang w:eastAsia="en-GB"/>
        </w:rPr>
        <w:t>Poets’</w:t>
      </w:r>
      <w:r w:rsidRPr="004B5DC6">
        <w:rPr>
          <w:rFonts w:eastAsia="Calibri" w:cs="Arial"/>
          <w:szCs w:val="24"/>
          <w:lang w:eastAsia="en-GB"/>
        </w:rPr>
        <w:t xml:space="preserve"> Corner</w:t>
      </w:r>
    </w:p>
    <w:p w14:paraId="35F7C46A" w14:textId="77777777" w:rsidR="0080743D" w:rsidRPr="004B5DC6" w:rsidRDefault="0080743D" w:rsidP="003522DF">
      <w:pPr>
        <w:pStyle w:val="ListParagraph"/>
        <w:numPr>
          <w:ilvl w:val="0"/>
          <w:numId w:val="3"/>
        </w:numPr>
        <w:jc w:val="both"/>
        <w:rPr>
          <w:rFonts w:eastAsia="Calibri" w:cs="Arial"/>
          <w:szCs w:val="24"/>
          <w:lang w:eastAsia="en-GB"/>
        </w:rPr>
      </w:pPr>
      <w:r w:rsidRPr="004B5DC6">
        <w:rPr>
          <w:rFonts w:eastAsia="Calibri" w:cs="Arial"/>
          <w:szCs w:val="24"/>
          <w:lang w:eastAsia="en-GB"/>
        </w:rPr>
        <w:t>Haslam House</w:t>
      </w:r>
    </w:p>
    <w:p w14:paraId="7D36F0CB" w14:textId="77777777" w:rsidR="0080743D" w:rsidRPr="004B5DC6" w:rsidRDefault="0080743D" w:rsidP="003522DF">
      <w:pPr>
        <w:pStyle w:val="ListParagraph"/>
        <w:numPr>
          <w:ilvl w:val="0"/>
          <w:numId w:val="3"/>
        </w:numPr>
        <w:jc w:val="both"/>
        <w:rPr>
          <w:rFonts w:eastAsia="Calibri" w:cs="Arial"/>
          <w:szCs w:val="24"/>
          <w:lang w:eastAsia="en-GB"/>
        </w:rPr>
      </w:pPr>
      <w:proofErr w:type="spellStart"/>
      <w:r w:rsidRPr="004B5DC6">
        <w:rPr>
          <w:rFonts w:eastAsia="Calibri" w:cs="Arial"/>
          <w:szCs w:val="24"/>
          <w:lang w:eastAsia="en-GB"/>
        </w:rPr>
        <w:t>Waxwell</w:t>
      </w:r>
      <w:proofErr w:type="spellEnd"/>
      <w:r w:rsidRPr="004B5DC6">
        <w:rPr>
          <w:rFonts w:eastAsia="Calibri" w:cs="Arial"/>
          <w:szCs w:val="24"/>
          <w:lang w:eastAsia="en-GB"/>
        </w:rPr>
        <w:t xml:space="preserve"> Lane</w:t>
      </w:r>
    </w:p>
    <w:p w14:paraId="3FC0973A" w14:textId="77777777" w:rsidR="0080743D" w:rsidRDefault="0080743D" w:rsidP="003522DF">
      <w:pPr>
        <w:pStyle w:val="ListParagraph"/>
        <w:numPr>
          <w:ilvl w:val="0"/>
          <w:numId w:val="3"/>
        </w:numPr>
        <w:jc w:val="both"/>
        <w:rPr>
          <w:rFonts w:eastAsia="Calibri" w:cs="Arial"/>
          <w:szCs w:val="24"/>
          <w:lang w:eastAsia="en-GB"/>
        </w:rPr>
      </w:pPr>
      <w:r w:rsidRPr="006E6034">
        <w:rPr>
          <w:rFonts w:eastAsia="Calibri" w:cs="Arial"/>
          <w:szCs w:val="24"/>
          <w:lang w:eastAsia="en-GB"/>
        </w:rPr>
        <w:t>Wealdstone Square</w:t>
      </w:r>
    </w:p>
    <w:p w14:paraId="5A767318" w14:textId="77777777" w:rsidR="0080743D" w:rsidRDefault="0080743D" w:rsidP="003522DF">
      <w:pPr>
        <w:pStyle w:val="ListParagraph"/>
        <w:numPr>
          <w:ilvl w:val="0"/>
          <w:numId w:val="3"/>
        </w:numPr>
        <w:jc w:val="both"/>
        <w:rPr>
          <w:rFonts w:eastAsia="Calibri" w:cs="Arial"/>
          <w:szCs w:val="24"/>
          <w:lang w:eastAsia="en-GB"/>
        </w:rPr>
      </w:pPr>
      <w:r>
        <w:rPr>
          <w:rFonts w:eastAsia="Calibri" w:cs="Arial"/>
          <w:szCs w:val="24"/>
          <w:lang w:eastAsia="en-GB"/>
        </w:rPr>
        <w:t>Depot</w:t>
      </w:r>
    </w:p>
    <w:p w14:paraId="0D2A568F" w14:textId="77777777" w:rsidR="0080743D" w:rsidRDefault="0080743D" w:rsidP="003522DF">
      <w:pPr>
        <w:pStyle w:val="ListParagraph"/>
        <w:numPr>
          <w:ilvl w:val="0"/>
          <w:numId w:val="3"/>
        </w:numPr>
        <w:jc w:val="both"/>
        <w:rPr>
          <w:rFonts w:eastAsia="Calibri" w:cs="Arial"/>
          <w:szCs w:val="24"/>
          <w:lang w:eastAsia="en-GB"/>
        </w:rPr>
      </w:pPr>
      <w:r>
        <w:rPr>
          <w:rFonts w:eastAsia="Calibri" w:cs="Arial"/>
          <w:szCs w:val="24"/>
          <w:lang w:eastAsia="en-GB"/>
        </w:rPr>
        <w:t>Harrow Arts Centre (HAC)</w:t>
      </w:r>
    </w:p>
    <w:p w14:paraId="2C476293" w14:textId="77777777" w:rsidR="0080743D" w:rsidRPr="006E6034" w:rsidRDefault="0080743D" w:rsidP="003522DF">
      <w:pPr>
        <w:pStyle w:val="ListParagraph"/>
        <w:numPr>
          <w:ilvl w:val="0"/>
          <w:numId w:val="3"/>
        </w:numPr>
        <w:jc w:val="both"/>
        <w:rPr>
          <w:rFonts w:eastAsia="Calibri" w:cs="Arial"/>
          <w:szCs w:val="24"/>
          <w:lang w:eastAsia="en-GB"/>
        </w:rPr>
      </w:pPr>
      <w:r>
        <w:rPr>
          <w:rFonts w:eastAsia="Calibri" w:cs="Arial"/>
          <w:szCs w:val="24"/>
          <w:lang w:eastAsia="en-GB"/>
        </w:rPr>
        <w:t>Libraries</w:t>
      </w:r>
    </w:p>
    <w:p w14:paraId="499D64D6" w14:textId="77777777" w:rsidR="0080743D" w:rsidRPr="00D7237B" w:rsidRDefault="0080743D" w:rsidP="00FD61BA">
      <w:pPr>
        <w:jc w:val="both"/>
        <w:rPr>
          <w:rFonts w:eastAsia="Calibri" w:cs="Arial"/>
          <w:szCs w:val="24"/>
          <w:lang w:eastAsia="en-GB"/>
        </w:rPr>
      </w:pPr>
    </w:p>
    <w:p w14:paraId="363251DD" w14:textId="77777777" w:rsidR="0080743D" w:rsidRPr="001C4228" w:rsidRDefault="0080743D" w:rsidP="00FD61BA">
      <w:pPr>
        <w:jc w:val="both"/>
        <w:rPr>
          <w:rFonts w:eastAsia="Calibri" w:cs="Arial"/>
          <w:szCs w:val="24"/>
          <w:highlight w:val="yellow"/>
          <w:lang w:eastAsia="en-GB"/>
        </w:rPr>
      </w:pPr>
      <w:r w:rsidRPr="00D7237B">
        <w:rPr>
          <w:rFonts w:eastAsia="Calibri" w:cs="Arial"/>
          <w:szCs w:val="24"/>
          <w:lang w:eastAsia="en-GB"/>
        </w:rPr>
        <w:t xml:space="preserve">The </w:t>
      </w:r>
      <w:r>
        <w:rPr>
          <w:rFonts w:eastAsia="Calibri" w:cs="Arial"/>
          <w:szCs w:val="24"/>
          <w:lang w:eastAsia="en-GB"/>
        </w:rPr>
        <w:t xml:space="preserve">Existing </w:t>
      </w:r>
      <w:r w:rsidRPr="00D7237B">
        <w:rPr>
          <w:rFonts w:eastAsia="Calibri" w:cs="Arial"/>
          <w:szCs w:val="24"/>
          <w:lang w:eastAsia="en-GB"/>
        </w:rPr>
        <w:t>Capital Programme</w:t>
      </w:r>
      <w:r>
        <w:rPr>
          <w:rFonts w:eastAsia="Calibri" w:cs="Arial"/>
          <w:szCs w:val="24"/>
          <w:lang w:eastAsia="en-GB"/>
        </w:rPr>
        <w:t xml:space="preserve">, approved  </w:t>
      </w:r>
      <w:r w:rsidRPr="00D7237B">
        <w:rPr>
          <w:rFonts w:eastAsia="Calibri" w:cs="Arial"/>
          <w:szCs w:val="24"/>
          <w:lang w:eastAsia="en-GB"/>
        </w:rPr>
        <w:t xml:space="preserve"> by </w:t>
      </w:r>
      <w:r>
        <w:rPr>
          <w:rFonts w:eastAsia="Calibri" w:cs="Arial"/>
          <w:szCs w:val="24"/>
          <w:lang w:eastAsia="en-GB"/>
        </w:rPr>
        <w:t>c</w:t>
      </w:r>
      <w:r w:rsidRPr="00D7237B">
        <w:rPr>
          <w:rFonts w:eastAsia="Calibri" w:cs="Arial"/>
          <w:szCs w:val="24"/>
          <w:lang w:eastAsia="en-GB"/>
        </w:rPr>
        <w:t>ouncil in February 20</w:t>
      </w:r>
      <w:r>
        <w:rPr>
          <w:rFonts w:eastAsia="Calibri" w:cs="Arial"/>
          <w:szCs w:val="24"/>
          <w:lang w:eastAsia="en-GB"/>
        </w:rPr>
        <w:t>20</w:t>
      </w:r>
      <w:r w:rsidRPr="00D7237B">
        <w:rPr>
          <w:rFonts w:eastAsia="Calibri" w:cs="Arial"/>
          <w:szCs w:val="24"/>
          <w:lang w:eastAsia="en-GB"/>
        </w:rPr>
        <w:t>, includes</w:t>
      </w:r>
      <w:r>
        <w:rPr>
          <w:rFonts w:eastAsia="Calibri" w:cs="Arial"/>
          <w:szCs w:val="24"/>
          <w:lang w:eastAsia="en-GB"/>
        </w:rPr>
        <w:t xml:space="preserve"> a total </w:t>
      </w:r>
      <w:r w:rsidRPr="00D7237B">
        <w:rPr>
          <w:rFonts w:eastAsia="Calibri" w:cs="Arial"/>
          <w:szCs w:val="24"/>
          <w:lang w:eastAsia="en-GB"/>
        </w:rPr>
        <w:t xml:space="preserve">capital budget </w:t>
      </w:r>
      <w:r w:rsidR="004D1827" w:rsidRPr="001C4228">
        <w:rPr>
          <w:rFonts w:eastAsia="Calibri" w:cs="Arial"/>
          <w:szCs w:val="24"/>
          <w:lang w:eastAsia="en-GB"/>
        </w:rPr>
        <w:t>provision</w:t>
      </w:r>
      <w:r w:rsidR="004D1827">
        <w:rPr>
          <w:rFonts w:eastAsia="Calibri" w:cs="Arial"/>
          <w:szCs w:val="24"/>
          <w:lang w:eastAsia="en-GB"/>
        </w:rPr>
        <w:t xml:space="preserve"> (</w:t>
      </w:r>
      <w:r>
        <w:rPr>
          <w:rFonts w:eastAsia="Calibri" w:cs="Arial"/>
          <w:szCs w:val="24"/>
          <w:lang w:eastAsia="en-GB"/>
        </w:rPr>
        <w:t>inclusive of carry forwards)</w:t>
      </w:r>
      <w:r w:rsidRPr="001C4228">
        <w:rPr>
          <w:rFonts w:eastAsia="Calibri" w:cs="Arial"/>
          <w:szCs w:val="24"/>
          <w:lang w:eastAsia="en-GB"/>
        </w:rPr>
        <w:t xml:space="preserve"> </w:t>
      </w:r>
      <w:r w:rsidRPr="00804478">
        <w:rPr>
          <w:rFonts w:eastAsia="Calibri" w:cs="Arial"/>
          <w:szCs w:val="24"/>
          <w:lang w:eastAsia="en-GB"/>
        </w:rPr>
        <w:t>of £</w:t>
      </w:r>
      <w:r>
        <w:rPr>
          <w:rFonts w:eastAsia="Calibri" w:cs="Arial"/>
          <w:szCs w:val="24"/>
          <w:lang w:eastAsia="en-GB"/>
        </w:rPr>
        <w:t xml:space="preserve">58.045m </w:t>
      </w:r>
      <w:r w:rsidRPr="001C4228">
        <w:rPr>
          <w:rFonts w:eastAsia="Calibri" w:cs="Arial"/>
          <w:szCs w:val="24"/>
          <w:lang w:eastAsia="en-GB"/>
        </w:rPr>
        <w:t>to</w:t>
      </w:r>
      <w:r w:rsidRPr="00D7237B">
        <w:rPr>
          <w:rFonts w:eastAsia="Calibri" w:cs="Arial"/>
          <w:szCs w:val="24"/>
          <w:lang w:eastAsia="en-GB"/>
        </w:rPr>
        <w:t xml:space="preserve"> support these schemes:</w:t>
      </w:r>
    </w:p>
    <w:p w14:paraId="437B693F" w14:textId="77777777" w:rsidR="0080743D" w:rsidRDefault="0080743D" w:rsidP="00FD61BA">
      <w:pPr>
        <w:jc w:val="both"/>
        <w:rPr>
          <w:rFonts w:eastAsia="Calibri" w:cs="Arial"/>
          <w:szCs w:val="24"/>
          <w:lang w:eastAsia="en-GB"/>
        </w:rPr>
      </w:pPr>
    </w:p>
    <w:p w14:paraId="7081672E" w14:textId="77777777" w:rsidR="0080743D" w:rsidRPr="008B2B29" w:rsidRDefault="0080743D" w:rsidP="00FD61BA">
      <w:pPr>
        <w:jc w:val="both"/>
        <w:rPr>
          <w:rFonts w:eastAsia="Calibri" w:cs="Arial"/>
          <w:szCs w:val="24"/>
          <w:lang w:eastAsia="en-GB"/>
        </w:rPr>
      </w:pPr>
      <w:r w:rsidRPr="008B2B29">
        <w:rPr>
          <w:rFonts w:eastAsia="Calibri"/>
          <w:noProof/>
          <w:lang w:eastAsia="en-GB"/>
        </w:rPr>
        <w:drawing>
          <wp:inline distT="0" distB="0" distL="0" distR="0" wp14:anchorId="1E8423A9" wp14:editId="4E58C8F6">
            <wp:extent cx="5280025" cy="1028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0025" cy="1028747"/>
                    </a:xfrm>
                    <a:prstGeom prst="rect">
                      <a:avLst/>
                    </a:prstGeom>
                    <a:noFill/>
                    <a:ln>
                      <a:noFill/>
                    </a:ln>
                  </pic:spPr>
                </pic:pic>
              </a:graphicData>
            </a:graphic>
          </wp:inline>
        </w:drawing>
      </w:r>
    </w:p>
    <w:p w14:paraId="2F6052FD" w14:textId="77777777" w:rsidR="0080743D" w:rsidRPr="00D7237B" w:rsidRDefault="0080743D" w:rsidP="00FD61BA">
      <w:pPr>
        <w:jc w:val="both"/>
        <w:rPr>
          <w:rFonts w:eastAsia="Calibri" w:cs="Arial"/>
          <w:szCs w:val="24"/>
          <w:lang w:eastAsia="en-GB"/>
        </w:rPr>
      </w:pPr>
    </w:p>
    <w:p w14:paraId="1D5C7061" w14:textId="77777777" w:rsidR="0080743D" w:rsidRDefault="0080743D" w:rsidP="00FD61BA">
      <w:pPr>
        <w:jc w:val="both"/>
        <w:rPr>
          <w:rFonts w:eastAsia="Calibri" w:cs="Arial"/>
          <w:szCs w:val="24"/>
          <w:lang w:eastAsia="en-GB"/>
        </w:rPr>
      </w:pPr>
      <w:r>
        <w:rPr>
          <w:rFonts w:eastAsia="Calibri" w:cs="Arial"/>
          <w:szCs w:val="24"/>
          <w:lang w:eastAsia="en-GB"/>
        </w:rPr>
        <w:t xml:space="preserve">Within the </w:t>
      </w:r>
      <w:r w:rsidR="00AB5AE0">
        <w:rPr>
          <w:rFonts w:eastAsia="Calibri" w:cs="Arial"/>
          <w:szCs w:val="24"/>
          <w:lang w:eastAsia="en-GB"/>
        </w:rPr>
        <w:t>Regeneration</w:t>
      </w:r>
      <w:r>
        <w:rPr>
          <w:rFonts w:eastAsia="Calibri" w:cs="Arial"/>
          <w:szCs w:val="24"/>
          <w:lang w:eastAsia="en-GB"/>
        </w:rPr>
        <w:t xml:space="preserve"> Capital Programme, there is place holder funding of £19.5m included for the </w:t>
      </w:r>
      <w:r w:rsidRPr="00D7237B">
        <w:rPr>
          <w:rFonts w:eastAsia="Calibri" w:cs="Arial"/>
          <w:szCs w:val="24"/>
          <w:lang w:eastAsia="en-GB"/>
        </w:rPr>
        <w:t xml:space="preserve">Harrow New Civic Centre and </w:t>
      </w:r>
      <w:r>
        <w:rPr>
          <w:rFonts w:eastAsia="Calibri" w:cs="Arial"/>
          <w:szCs w:val="24"/>
          <w:lang w:eastAsia="en-GB"/>
        </w:rPr>
        <w:t>Poets’</w:t>
      </w:r>
      <w:r w:rsidRPr="00D7237B">
        <w:rPr>
          <w:rFonts w:eastAsia="Calibri" w:cs="Arial"/>
          <w:szCs w:val="24"/>
          <w:lang w:eastAsia="en-GB"/>
        </w:rPr>
        <w:t xml:space="preserve"> Corner </w:t>
      </w:r>
      <w:r>
        <w:rPr>
          <w:rFonts w:eastAsia="Calibri" w:cs="Arial"/>
          <w:szCs w:val="24"/>
          <w:lang w:eastAsia="en-GB"/>
        </w:rPr>
        <w:t xml:space="preserve">and </w:t>
      </w:r>
      <w:r w:rsidR="004D1827">
        <w:rPr>
          <w:rFonts w:eastAsia="Calibri" w:cs="Arial"/>
          <w:szCs w:val="24"/>
          <w:lang w:eastAsia="en-GB"/>
        </w:rPr>
        <w:t xml:space="preserve">this </w:t>
      </w:r>
      <w:r w:rsidR="004D1827" w:rsidRPr="00D7237B">
        <w:rPr>
          <w:rFonts w:eastAsia="Calibri" w:cs="Arial"/>
          <w:szCs w:val="24"/>
          <w:lang w:eastAsia="en-GB"/>
        </w:rPr>
        <w:t>funding</w:t>
      </w:r>
      <w:r w:rsidRPr="00D7237B">
        <w:rPr>
          <w:rFonts w:eastAsia="Calibri" w:cs="Arial"/>
          <w:szCs w:val="24"/>
          <w:lang w:eastAsia="en-GB"/>
        </w:rPr>
        <w:t xml:space="preserve"> will not be drawn down until the approval of a </w:t>
      </w:r>
      <w:r>
        <w:rPr>
          <w:rFonts w:eastAsia="Calibri" w:cs="Arial"/>
          <w:szCs w:val="24"/>
          <w:lang w:eastAsia="en-GB"/>
        </w:rPr>
        <w:t>b</w:t>
      </w:r>
      <w:r w:rsidRPr="00D7237B">
        <w:rPr>
          <w:rFonts w:eastAsia="Calibri" w:cs="Arial"/>
          <w:szCs w:val="24"/>
          <w:lang w:eastAsia="en-GB"/>
        </w:rPr>
        <w:t>usiness case. The first call against the placeholder funds is the commercial unit on Plot S.</w:t>
      </w:r>
      <w:r w:rsidR="009250B6">
        <w:rPr>
          <w:rFonts w:eastAsia="Calibri" w:cs="Arial"/>
          <w:szCs w:val="24"/>
          <w:lang w:eastAsia="en-GB"/>
        </w:rPr>
        <w:t xml:space="preserve">   </w:t>
      </w:r>
    </w:p>
    <w:p w14:paraId="7E50031D" w14:textId="77777777" w:rsidR="0080743D" w:rsidRDefault="0080743D" w:rsidP="00FD61BA">
      <w:pPr>
        <w:jc w:val="both"/>
        <w:rPr>
          <w:rFonts w:eastAsia="Calibri" w:cs="Arial"/>
          <w:szCs w:val="24"/>
          <w:lang w:eastAsia="en-GB"/>
        </w:rPr>
      </w:pPr>
    </w:p>
    <w:p w14:paraId="5E94737B" w14:textId="77777777" w:rsidR="0080743D" w:rsidRDefault="0080743D" w:rsidP="00FD61BA">
      <w:pPr>
        <w:jc w:val="both"/>
        <w:rPr>
          <w:rFonts w:cs="Arial"/>
          <w:szCs w:val="24"/>
        </w:rPr>
      </w:pPr>
      <w:r w:rsidRPr="00D7237B">
        <w:rPr>
          <w:rFonts w:cs="Arial"/>
          <w:szCs w:val="24"/>
        </w:rPr>
        <w:t>The</w:t>
      </w:r>
      <w:r>
        <w:rPr>
          <w:rFonts w:cs="Arial"/>
          <w:szCs w:val="24"/>
        </w:rPr>
        <w:t>re is budget capacity to fund</w:t>
      </w:r>
      <w:r w:rsidRPr="00581536">
        <w:rPr>
          <w:rFonts w:cs="Arial"/>
          <w:szCs w:val="24"/>
        </w:rPr>
        <w:t xml:space="preserve"> the revenue elements of the Regeneration Programme</w:t>
      </w:r>
      <w:r>
        <w:rPr>
          <w:rFonts w:cs="Arial"/>
          <w:szCs w:val="24"/>
        </w:rPr>
        <w:t xml:space="preserve"> over the period of the current MTFS which will be reported as part of the </w:t>
      </w:r>
      <w:r w:rsidR="00AB5AE0">
        <w:rPr>
          <w:rFonts w:cs="Arial"/>
          <w:szCs w:val="24"/>
        </w:rPr>
        <w:t>quarterly</w:t>
      </w:r>
      <w:r>
        <w:rPr>
          <w:rFonts w:cs="Arial"/>
          <w:szCs w:val="24"/>
        </w:rPr>
        <w:t xml:space="preserve"> financial updates to Cabinet. </w:t>
      </w:r>
      <w:r w:rsidRPr="00581536">
        <w:rPr>
          <w:rFonts w:cs="Arial"/>
          <w:szCs w:val="24"/>
        </w:rPr>
        <w:t xml:space="preserve">   </w:t>
      </w:r>
      <w:r w:rsidR="009250B6">
        <w:rPr>
          <w:rFonts w:cs="Arial"/>
          <w:szCs w:val="24"/>
        </w:rPr>
        <w:t xml:space="preserve">  </w:t>
      </w:r>
      <w:r w:rsidRPr="00581536">
        <w:rPr>
          <w:rFonts w:cs="Arial"/>
          <w:szCs w:val="24"/>
        </w:rPr>
        <w:t xml:space="preserve">As the HSDP procurement exercise </w:t>
      </w:r>
      <w:r>
        <w:rPr>
          <w:rFonts w:cs="Arial"/>
          <w:szCs w:val="24"/>
        </w:rPr>
        <w:t>concludes</w:t>
      </w:r>
      <w:r w:rsidRPr="00581536">
        <w:rPr>
          <w:rFonts w:cs="Arial"/>
          <w:szCs w:val="24"/>
        </w:rPr>
        <w:t xml:space="preserve"> this will inform the future costs and cash flow implications for the council</w:t>
      </w:r>
      <w:r>
        <w:rPr>
          <w:rFonts w:cs="Arial"/>
          <w:szCs w:val="24"/>
        </w:rPr>
        <w:t>,</w:t>
      </w:r>
      <w:r w:rsidRPr="00581536">
        <w:rPr>
          <w:rFonts w:cs="Arial"/>
          <w:szCs w:val="24"/>
        </w:rPr>
        <w:t xml:space="preserve"> including the capital borrowing requirement, capital financing costs, financial returns and the ongoing support required</w:t>
      </w:r>
      <w:r>
        <w:rPr>
          <w:rFonts w:cs="Arial"/>
          <w:szCs w:val="24"/>
        </w:rPr>
        <w:t>.</w:t>
      </w:r>
    </w:p>
    <w:p w14:paraId="001F30F2" w14:textId="77777777" w:rsidR="0080743D" w:rsidRPr="00CD5E6D" w:rsidRDefault="0080743D" w:rsidP="00FD61BA">
      <w:pPr>
        <w:jc w:val="both"/>
        <w:rPr>
          <w:rFonts w:cs="Arial"/>
          <w:szCs w:val="24"/>
        </w:rPr>
      </w:pPr>
    </w:p>
    <w:p w14:paraId="47A55FAC" w14:textId="77777777" w:rsidR="0080743D" w:rsidRDefault="0080743D" w:rsidP="00FD61BA">
      <w:pPr>
        <w:jc w:val="both"/>
        <w:rPr>
          <w:rFonts w:cs="Arial"/>
          <w:szCs w:val="24"/>
          <w:lang w:eastAsia="en-GB"/>
        </w:rPr>
      </w:pPr>
      <w:r w:rsidRPr="00581536">
        <w:rPr>
          <w:rFonts w:cs="Arial"/>
          <w:szCs w:val="24"/>
        </w:rPr>
        <w:t xml:space="preserve">The </w:t>
      </w:r>
      <w:r>
        <w:rPr>
          <w:rFonts w:cs="Arial"/>
          <w:szCs w:val="24"/>
        </w:rPr>
        <w:t>c</w:t>
      </w:r>
      <w:r w:rsidRPr="00581536">
        <w:rPr>
          <w:rFonts w:cs="Arial"/>
          <w:szCs w:val="24"/>
        </w:rPr>
        <w:t>ouncil’s housing programme</w:t>
      </w:r>
      <w:r>
        <w:rPr>
          <w:rFonts w:cs="Arial"/>
          <w:szCs w:val="24"/>
        </w:rPr>
        <w:t>,</w:t>
      </w:r>
      <w:r w:rsidRPr="00581536">
        <w:rPr>
          <w:rFonts w:cs="Arial"/>
          <w:szCs w:val="24"/>
        </w:rPr>
        <w:t xml:space="preserve"> approved as part of the budget report on 28</w:t>
      </w:r>
      <w:r w:rsidRPr="00CD5E6D">
        <w:rPr>
          <w:rFonts w:cs="Arial"/>
          <w:szCs w:val="24"/>
        </w:rPr>
        <w:t>th</w:t>
      </w:r>
      <w:r w:rsidRPr="00581536">
        <w:rPr>
          <w:rFonts w:cs="Arial"/>
          <w:szCs w:val="24"/>
        </w:rPr>
        <w:t xml:space="preserve"> February 2019</w:t>
      </w:r>
      <w:r>
        <w:rPr>
          <w:rFonts w:cs="Arial"/>
          <w:szCs w:val="24"/>
        </w:rPr>
        <w:t xml:space="preserve"> and</w:t>
      </w:r>
      <w:r w:rsidRPr="00581536">
        <w:rPr>
          <w:rFonts w:cs="Arial"/>
          <w:szCs w:val="24"/>
        </w:rPr>
        <w:t xml:space="preserve"> totalling </w:t>
      </w:r>
      <w:r>
        <w:rPr>
          <w:rFonts w:cs="Arial"/>
          <w:szCs w:val="24"/>
        </w:rPr>
        <w:t>£</w:t>
      </w:r>
      <w:r w:rsidRPr="00581536">
        <w:rPr>
          <w:rFonts w:cs="Arial"/>
          <w:szCs w:val="24"/>
        </w:rPr>
        <w:t>171.163m</w:t>
      </w:r>
      <w:r>
        <w:rPr>
          <w:rFonts w:cs="Arial"/>
          <w:szCs w:val="24"/>
        </w:rPr>
        <w:t>,</w:t>
      </w:r>
      <w:r w:rsidRPr="00581536">
        <w:rPr>
          <w:rFonts w:cs="Arial"/>
          <w:szCs w:val="24"/>
        </w:rPr>
        <w:t xml:space="preserve"> has secured GLA grant </w:t>
      </w:r>
      <w:r>
        <w:rPr>
          <w:rFonts w:cs="Arial"/>
          <w:szCs w:val="24"/>
        </w:rPr>
        <w:t xml:space="preserve">funding of </w:t>
      </w:r>
      <w:r w:rsidRPr="00581536">
        <w:rPr>
          <w:rFonts w:cs="Arial"/>
          <w:szCs w:val="24"/>
        </w:rPr>
        <w:t>£32.144m</w:t>
      </w:r>
      <w:r w:rsidRPr="00581536">
        <w:rPr>
          <w:rFonts w:cs="Arial"/>
          <w:szCs w:val="24"/>
          <w:lang w:eastAsia="en-GB"/>
        </w:rPr>
        <w:t xml:space="preserve"> and HIF grant of £10m.</w:t>
      </w:r>
      <w:r>
        <w:rPr>
          <w:rFonts w:cs="Arial"/>
          <w:szCs w:val="24"/>
          <w:lang w:eastAsia="en-GB"/>
        </w:rPr>
        <w:t xml:space="preserve"> </w:t>
      </w:r>
      <w:r w:rsidRPr="00581536">
        <w:rPr>
          <w:rFonts w:cs="Arial"/>
          <w:szCs w:val="24"/>
          <w:lang w:eastAsia="en-GB"/>
        </w:rPr>
        <w:t>The new build programme will require full utilisation of these external grants together with external borrowing of £</w:t>
      </w:r>
      <w:r>
        <w:rPr>
          <w:rFonts w:cs="Arial"/>
          <w:szCs w:val="24"/>
          <w:lang w:eastAsia="en-GB"/>
        </w:rPr>
        <w:t xml:space="preserve">77.2m, </w:t>
      </w:r>
      <w:r w:rsidRPr="00581536">
        <w:rPr>
          <w:rFonts w:cs="Arial"/>
          <w:szCs w:val="24"/>
          <w:lang w:eastAsia="en-GB"/>
        </w:rPr>
        <w:t>within the required timescales</w:t>
      </w:r>
      <w:r>
        <w:rPr>
          <w:rFonts w:cs="Arial"/>
          <w:szCs w:val="24"/>
          <w:lang w:eastAsia="en-GB"/>
        </w:rPr>
        <w:t>,</w:t>
      </w:r>
      <w:r w:rsidRPr="00581536">
        <w:rPr>
          <w:rFonts w:cs="Arial"/>
          <w:szCs w:val="24"/>
          <w:lang w:eastAsia="en-GB"/>
        </w:rPr>
        <w:t xml:space="preserve"> to ensure the external funding is not lost.</w:t>
      </w:r>
      <w:r>
        <w:rPr>
          <w:rFonts w:cs="Arial"/>
          <w:szCs w:val="24"/>
          <w:lang w:eastAsia="en-GB"/>
        </w:rPr>
        <w:t xml:space="preserve"> Borrowing estimates for Building Council Homes for Londoners (</w:t>
      </w:r>
      <w:proofErr w:type="spellStart"/>
      <w:r>
        <w:rPr>
          <w:rFonts w:cs="Arial"/>
          <w:szCs w:val="24"/>
          <w:lang w:eastAsia="en-GB"/>
        </w:rPr>
        <w:t>BCHfL</w:t>
      </w:r>
      <w:proofErr w:type="spellEnd"/>
      <w:r>
        <w:rPr>
          <w:rFonts w:cs="Arial"/>
          <w:szCs w:val="24"/>
          <w:lang w:eastAsia="en-GB"/>
        </w:rPr>
        <w:t>) have been reduced from £83.6m, originally approved in February 2019, through reconfiguration of the planned investment programme and increased resources expected from Right To Buy Ring-fenced Offer (RTBRFO). This is detailed in the Housing Revenue account Budget 2020-21 &amp; Medium Term Financial Strategy 2021-22 to 2022-23.</w:t>
      </w:r>
    </w:p>
    <w:p w14:paraId="2E542653" w14:textId="77777777" w:rsidR="0080743D" w:rsidRDefault="0080743D" w:rsidP="00FD61BA">
      <w:pPr>
        <w:jc w:val="both"/>
        <w:rPr>
          <w:rFonts w:cs="Arial"/>
          <w:szCs w:val="24"/>
          <w:lang w:eastAsia="en-GB"/>
        </w:rPr>
      </w:pPr>
    </w:p>
    <w:p w14:paraId="6D4F0209" w14:textId="77777777" w:rsidR="009250B6" w:rsidRDefault="0080743D" w:rsidP="00FD61BA">
      <w:pPr>
        <w:jc w:val="both"/>
        <w:rPr>
          <w:rFonts w:cs="Arial"/>
          <w:szCs w:val="24"/>
          <w:lang w:eastAsia="en-GB"/>
        </w:rPr>
      </w:pPr>
      <w:r>
        <w:rPr>
          <w:rFonts w:cs="Arial"/>
          <w:szCs w:val="24"/>
          <w:lang w:eastAsia="en-GB"/>
        </w:rPr>
        <w:t xml:space="preserve">The HRA Business Plan will, be updated for changes in assumptions and results for financial year 2019/20. </w:t>
      </w:r>
    </w:p>
    <w:p w14:paraId="0B0E02D7" w14:textId="77777777" w:rsidR="009250B6" w:rsidRDefault="009250B6" w:rsidP="00FD61BA">
      <w:pPr>
        <w:jc w:val="both"/>
        <w:rPr>
          <w:rFonts w:cs="Arial"/>
          <w:szCs w:val="24"/>
          <w:lang w:eastAsia="en-GB"/>
        </w:rPr>
      </w:pPr>
    </w:p>
    <w:p w14:paraId="338FB76A" w14:textId="77777777" w:rsidR="0080743D" w:rsidRDefault="0080743D" w:rsidP="00FD61BA">
      <w:pPr>
        <w:jc w:val="both"/>
        <w:rPr>
          <w:rFonts w:cs="Arial"/>
          <w:szCs w:val="24"/>
          <w:lang w:eastAsia="en-GB"/>
        </w:rPr>
      </w:pPr>
      <w:r w:rsidRPr="009250B6">
        <w:rPr>
          <w:rFonts w:cs="Arial"/>
          <w:szCs w:val="24"/>
          <w:lang w:eastAsia="en-GB"/>
        </w:rPr>
        <w:t xml:space="preserve">As a result of COVID-19 a fundamental review of all capital schemes, including </w:t>
      </w:r>
      <w:proofErr w:type="spellStart"/>
      <w:r w:rsidRPr="009250B6">
        <w:rPr>
          <w:rFonts w:cs="Arial"/>
          <w:szCs w:val="24"/>
          <w:lang w:eastAsia="en-GB"/>
        </w:rPr>
        <w:t>BCHfL</w:t>
      </w:r>
      <w:proofErr w:type="spellEnd"/>
      <w:r w:rsidRPr="009250B6">
        <w:rPr>
          <w:rFonts w:cs="Arial"/>
          <w:szCs w:val="24"/>
          <w:lang w:eastAsia="en-GB"/>
        </w:rPr>
        <w:t xml:space="preserve"> programme, is in progress which will take into account changes in costs, time lines and rental yields. </w:t>
      </w:r>
      <w:r w:rsidR="009250B6" w:rsidRPr="009250B6">
        <w:rPr>
          <w:rFonts w:cs="Arial"/>
          <w:szCs w:val="24"/>
          <w:lang w:eastAsia="en-GB"/>
        </w:rPr>
        <w:t xml:space="preserve">  </w:t>
      </w:r>
      <w:r w:rsidRPr="009250B6">
        <w:rPr>
          <w:rFonts w:cs="Arial"/>
          <w:szCs w:val="24"/>
          <w:lang w:eastAsia="en-GB"/>
        </w:rPr>
        <w:t>After consultation with appropriate stakeholders, including the Greater London Authority which supplies the majority of external funding, the update will be reported to Cabinet.</w:t>
      </w:r>
    </w:p>
    <w:p w14:paraId="3CE0884A" w14:textId="77777777" w:rsidR="001855EC" w:rsidRPr="009250B6" w:rsidRDefault="001855EC" w:rsidP="00FD61BA">
      <w:pPr>
        <w:jc w:val="both"/>
        <w:rPr>
          <w:rFonts w:cs="Arial"/>
          <w:szCs w:val="24"/>
        </w:rPr>
      </w:pPr>
      <w:bookmarkStart w:id="0" w:name="_GoBack"/>
      <w:bookmarkEnd w:id="0"/>
    </w:p>
    <w:p w14:paraId="2B7C3806" w14:textId="77777777" w:rsidR="002D14F9" w:rsidRPr="001C2CF2" w:rsidRDefault="002D14F9" w:rsidP="00FD61BA">
      <w:pPr>
        <w:jc w:val="both"/>
      </w:pPr>
      <w:r w:rsidRPr="002F362A">
        <w:t>Please find below the link to Buildin</w:t>
      </w:r>
      <w:r w:rsidRPr="005C17F2">
        <w:t>g a Better Harrow website and Regeneration Strategy document 2015-2016</w:t>
      </w:r>
      <w:r w:rsidRPr="00911DFA">
        <w:t>:</w:t>
      </w:r>
    </w:p>
    <w:p w14:paraId="577E01D7" w14:textId="77777777" w:rsidR="002D14F9" w:rsidRDefault="001855EC" w:rsidP="00FD61BA">
      <w:pPr>
        <w:jc w:val="both"/>
        <w:rPr>
          <w:rStyle w:val="Hyperlink"/>
        </w:rPr>
      </w:pPr>
      <w:hyperlink r:id="rId15" w:anchor="/about/" w:history="1">
        <w:r w:rsidR="002D14F9" w:rsidRPr="005C17F2">
          <w:rPr>
            <w:rStyle w:val="Hyperlink"/>
          </w:rPr>
          <w:t>http://www.buildingabetterharrow.co.uk/#/about/</w:t>
        </w:r>
      </w:hyperlink>
    </w:p>
    <w:p w14:paraId="18196FC5" w14:textId="77777777" w:rsidR="00307F76" w:rsidRDefault="00307F76" w:rsidP="00FD61BA">
      <w:pPr>
        <w:jc w:val="both"/>
      </w:pPr>
    </w:p>
    <w:p w14:paraId="22E1AA2A" w14:textId="691D0A67" w:rsidR="00FE2290" w:rsidRDefault="00FE2290" w:rsidP="00FD61BA">
      <w:pPr>
        <w:pStyle w:val="Heading1"/>
        <w:jc w:val="both"/>
      </w:pPr>
    </w:p>
    <w:p w14:paraId="1A24FE71" w14:textId="1841F38B" w:rsidR="000122A4" w:rsidRDefault="000122A4" w:rsidP="000122A4"/>
    <w:p w14:paraId="3528E1B4" w14:textId="1862752A" w:rsidR="000122A4" w:rsidRDefault="000122A4" w:rsidP="000122A4"/>
    <w:p w14:paraId="14359850" w14:textId="642E1484" w:rsidR="0085375D" w:rsidRDefault="0085375D" w:rsidP="000122A4"/>
    <w:p w14:paraId="58E48153" w14:textId="77777777" w:rsidR="00333FAA" w:rsidRPr="0052066E" w:rsidRDefault="00333FAA" w:rsidP="00FD61BA">
      <w:pPr>
        <w:pStyle w:val="Heading1"/>
        <w:jc w:val="both"/>
      </w:pPr>
      <w:r w:rsidRPr="0052066E">
        <w:t xml:space="preserve">Section </w:t>
      </w:r>
      <w:r w:rsidR="009250B6">
        <w:t>7</w:t>
      </w:r>
      <w:r w:rsidRPr="0052066E">
        <w:t xml:space="preserve"> - Statutory Officer Clearance</w:t>
      </w:r>
    </w:p>
    <w:p w14:paraId="51424304" w14:textId="77777777" w:rsidR="00333FAA" w:rsidRDefault="00333FAA" w:rsidP="00FD61BA">
      <w:pPr>
        <w:keepNext/>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2"/>
        <w:gridCol w:w="23"/>
        <w:gridCol w:w="380"/>
        <w:gridCol w:w="23"/>
        <w:gridCol w:w="211"/>
        <w:gridCol w:w="23"/>
        <w:gridCol w:w="3569"/>
      </w:tblGrid>
      <w:tr w:rsidR="002D14F9" w14:paraId="589000D6" w14:textId="77777777" w:rsidTr="00E06B60">
        <w:tc>
          <w:tcPr>
            <w:tcW w:w="4322" w:type="dxa"/>
            <w:gridSpan w:val="2"/>
            <w:tcBorders>
              <w:bottom w:val="nil"/>
              <w:right w:val="nil"/>
            </w:tcBorders>
          </w:tcPr>
          <w:p w14:paraId="7611BF93" w14:textId="77777777" w:rsidR="002D14F9" w:rsidRDefault="002D14F9" w:rsidP="00FD61BA">
            <w:pPr>
              <w:pStyle w:val="Infotext"/>
              <w:jc w:val="both"/>
            </w:pPr>
          </w:p>
          <w:p w14:paraId="21EF636A" w14:textId="77777777" w:rsidR="002D14F9" w:rsidRDefault="002D14F9" w:rsidP="00FD61BA">
            <w:pPr>
              <w:pStyle w:val="Infotext"/>
              <w:jc w:val="both"/>
            </w:pPr>
          </w:p>
        </w:tc>
        <w:tc>
          <w:tcPr>
            <w:tcW w:w="403" w:type="dxa"/>
            <w:gridSpan w:val="2"/>
            <w:tcBorders>
              <w:left w:val="nil"/>
              <w:right w:val="nil"/>
            </w:tcBorders>
          </w:tcPr>
          <w:p w14:paraId="77C59A78" w14:textId="77777777" w:rsidR="002D14F9" w:rsidRDefault="002D14F9" w:rsidP="00FD61BA">
            <w:pPr>
              <w:pStyle w:val="Infotext"/>
              <w:jc w:val="both"/>
            </w:pPr>
          </w:p>
        </w:tc>
        <w:tc>
          <w:tcPr>
            <w:tcW w:w="234" w:type="dxa"/>
            <w:gridSpan w:val="2"/>
            <w:tcBorders>
              <w:left w:val="nil"/>
              <w:bottom w:val="nil"/>
              <w:right w:val="nil"/>
            </w:tcBorders>
          </w:tcPr>
          <w:p w14:paraId="72C3D9F0" w14:textId="77777777" w:rsidR="002D14F9" w:rsidRDefault="002D14F9" w:rsidP="00FD61BA">
            <w:pPr>
              <w:pStyle w:val="Infotext"/>
              <w:jc w:val="both"/>
            </w:pPr>
          </w:p>
        </w:tc>
        <w:tc>
          <w:tcPr>
            <w:tcW w:w="3566" w:type="dxa"/>
            <w:tcBorders>
              <w:left w:val="nil"/>
              <w:bottom w:val="nil"/>
            </w:tcBorders>
          </w:tcPr>
          <w:p w14:paraId="5E8CBF33" w14:textId="77777777" w:rsidR="002D14F9" w:rsidRDefault="002D14F9" w:rsidP="00FD61BA">
            <w:pPr>
              <w:pStyle w:val="Infotext"/>
              <w:jc w:val="both"/>
            </w:pPr>
          </w:p>
        </w:tc>
      </w:tr>
      <w:tr w:rsidR="002D14F9" w14:paraId="57BA65BB" w14:textId="77777777" w:rsidTr="00E06B60">
        <w:tc>
          <w:tcPr>
            <w:tcW w:w="4322" w:type="dxa"/>
            <w:gridSpan w:val="2"/>
            <w:tcBorders>
              <w:top w:val="nil"/>
              <w:bottom w:val="nil"/>
            </w:tcBorders>
          </w:tcPr>
          <w:p w14:paraId="277CEE81" w14:textId="77777777" w:rsidR="002D14F9" w:rsidRDefault="002D14F9" w:rsidP="00FD61BA">
            <w:pPr>
              <w:pStyle w:val="Infotext"/>
              <w:jc w:val="both"/>
            </w:pPr>
            <w:r>
              <w:t xml:space="preserve">Name: </w:t>
            </w:r>
            <w:r w:rsidR="007A6403">
              <w:t>Dawn Calvert</w:t>
            </w:r>
          </w:p>
        </w:tc>
        <w:tc>
          <w:tcPr>
            <w:tcW w:w="403" w:type="dxa"/>
            <w:gridSpan w:val="2"/>
            <w:tcBorders>
              <w:bottom w:val="single" w:sz="4" w:space="0" w:color="auto"/>
            </w:tcBorders>
          </w:tcPr>
          <w:p w14:paraId="7ED69FC1" w14:textId="77777777" w:rsidR="002D14F9" w:rsidRDefault="00C36E88" w:rsidP="00FD61BA">
            <w:pPr>
              <w:pStyle w:val="Infotext"/>
              <w:jc w:val="both"/>
            </w:pPr>
            <w:r>
              <w:t>X</w:t>
            </w:r>
          </w:p>
        </w:tc>
        <w:tc>
          <w:tcPr>
            <w:tcW w:w="234" w:type="dxa"/>
            <w:gridSpan w:val="2"/>
            <w:tcBorders>
              <w:top w:val="nil"/>
              <w:bottom w:val="nil"/>
              <w:right w:val="nil"/>
            </w:tcBorders>
          </w:tcPr>
          <w:p w14:paraId="0ABBA79A" w14:textId="77777777" w:rsidR="002D14F9" w:rsidRDefault="002D14F9" w:rsidP="00FD61BA">
            <w:pPr>
              <w:pStyle w:val="Infotext"/>
              <w:jc w:val="both"/>
            </w:pPr>
          </w:p>
        </w:tc>
        <w:tc>
          <w:tcPr>
            <w:tcW w:w="3566" w:type="dxa"/>
            <w:tcBorders>
              <w:top w:val="nil"/>
              <w:left w:val="nil"/>
              <w:bottom w:val="nil"/>
            </w:tcBorders>
          </w:tcPr>
          <w:p w14:paraId="5C19756B" w14:textId="77777777" w:rsidR="002D14F9" w:rsidRDefault="00D65CC2" w:rsidP="00FD61BA">
            <w:pPr>
              <w:pStyle w:val="Infotext"/>
              <w:jc w:val="both"/>
            </w:pPr>
            <w:r w:rsidRPr="00D65CC2">
              <w:t>Chief Financial Officer</w:t>
            </w:r>
          </w:p>
        </w:tc>
      </w:tr>
      <w:tr w:rsidR="002D14F9" w14:paraId="7EC8E930" w14:textId="77777777" w:rsidTr="00E06B60">
        <w:tc>
          <w:tcPr>
            <w:tcW w:w="4322" w:type="dxa"/>
            <w:gridSpan w:val="2"/>
            <w:tcBorders>
              <w:top w:val="nil"/>
              <w:right w:val="nil"/>
            </w:tcBorders>
          </w:tcPr>
          <w:p w14:paraId="24DDAB4D" w14:textId="77777777" w:rsidR="002D14F9" w:rsidRDefault="002D14F9" w:rsidP="00FD61BA">
            <w:pPr>
              <w:pStyle w:val="Infotext"/>
              <w:jc w:val="both"/>
            </w:pPr>
            <w:r>
              <w:t xml:space="preserve"> </w:t>
            </w:r>
          </w:p>
          <w:p w14:paraId="67015FD1" w14:textId="77777777" w:rsidR="002D14F9" w:rsidRDefault="002D14F9" w:rsidP="00BD7DCD">
            <w:pPr>
              <w:pStyle w:val="Infotext"/>
              <w:jc w:val="both"/>
            </w:pPr>
            <w:r>
              <w:t xml:space="preserve">Date: </w:t>
            </w:r>
            <w:r w:rsidR="00121072">
              <w:t>16/06/2020</w:t>
            </w:r>
          </w:p>
        </w:tc>
        <w:tc>
          <w:tcPr>
            <w:tcW w:w="403" w:type="dxa"/>
            <w:gridSpan w:val="2"/>
            <w:tcBorders>
              <w:left w:val="nil"/>
              <w:bottom w:val="single" w:sz="4" w:space="0" w:color="auto"/>
              <w:right w:val="nil"/>
            </w:tcBorders>
          </w:tcPr>
          <w:p w14:paraId="3AC5D3A1" w14:textId="77777777" w:rsidR="002D14F9" w:rsidRDefault="002D14F9" w:rsidP="00FD61BA">
            <w:pPr>
              <w:pStyle w:val="Infotext"/>
              <w:jc w:val="both"/>
            </w:pPr>
          </w:p>
        </w:tc>
        <w:tc>
          <w:tcPr>
            <w:tcW w:w="234" w:type="dxa"/>
            <w:gridSpan w:val="2"/>
            <w:tcBorders>
              <w:top w:val="nil"/>
              <w:left w:val="nil"/>
              <w:right w:val="nil"/>
            </w:tcBorders>
          </w:tcPr>
          <w:p w14:paraId="5254A73F" w14:textId="77777777" w:rsidR="002D14F9" w:rsidRDefault="002D14F9" w:rsidP="00FD61BA">
            <w:pPr>
              <w:pStyle w:val="Infotext"/>
              <w:jc w:val="both"/>
            </w:pPr>
          </w:p>
        </w:tc>
        <w:tc>
          <w:tcPr>
            <w:tcW w:w="3566" w:type="dxa"/>
            <w:tcBorders>
              <w:top w:val="nil"/>
              <w:left w:val="nil"/>
            </w:tcBorders>
          </w:tcPr>
          <w:p w14:paraId="14A0FAF9" w14:textId="77777777" w:rsidR="002D14F9" w:rsidRDefault="002D14F9" w:rsidP="00FD61BA">
            <w:pPr>
              <w:pStyle w:val="Infotext"/>
              <w:jc w:val="both"/>
            </w:pPr>
          </w:p>
        </w:tc>
      </w:tr>
      <w:tr w:rsidR="002D14F9" w14:paraId="6E2F2BDA" w14:textId="77777777" w:rsidTr="00E06B60">
        <w:tc>
          <w:tcPr>
            <w:tcW w:w="4322" w:type="dxa"/>
            <w:gridSpan w:val="2"/>
            <w:tcBorders>
              <w:bottom w:val="nil"/>
              <w:right w:val="nil"/>
            </w:tcBorders>
          </w:tcPr>
          <w:p w14:paraId="7CA6C242" w14:textId="77777777" w:rsidR="002D14F9" w:rsidRDefault="002D14F9" w:rsidP="00FD61BA">
            <w:pPr>
              <w:pStyle w:val="Infotext"/>
              <w:jc w:val="both"/>
            </w:pPr>
          </w:p>
          <w:p w14:paraId="24774681" w14:textId="77777777" w:rsidR="002D14F9" w:rsidRDefault="002D14F9" w:rsidP="00FD61BA">
            <w:pPr>
              <w:pStyle w:val="Infotext"/>
              <w:jc w:val="both"/>
            </w:pPr>
          </w:p>
        </w:tc>
        <w:tc>
          <w:tcPr>
            <w:tcW w:w="403" w:type="dxa"/>
            <w:gridSpan w:val="2"/>
            <w:tcBorders>
              <w:left w:val="nil"/>
              <w:right w:val="nil"/>
            </w:tcBorders>
          </w:tcPr>
          <w:p w14:paraId="0ED88554" w14:textId="77777777" w:rsidR="002D14F9" w:rsidRDefault="002D14F9" w:rsidP="00FD61BA">
            <w:pPr>
              <w:pStyle w:val="Infotext"/>
              <w:jc w:val="both"/>
            </w:pPr>
          </w:p>
        </w:tc>
        <w:tc>
          <w:tcPr>
            <w:tcW w:w="234" w:type="dxa"/>
            <w:gridSpan w:val="2"/>
            <w:tcBorders>
              <w:left w:val="nil"/>
              <w:bottom w:val="nil"/>
              <w:right w:val="nil"/>
            </w:tcBorders>
          </w:tcPr>
          <w:p w14:paraId="237F9F6A" w14:textId="77777777" w:rsidR="002D14F9" w:rsidRDefault="002D14F9" w:rsidP="00FD61BA">
            <w:pPr>
              <w:pStyle w:val="Infotext"/>
              <w:jc w:val="both"/>
            </w:pPr>
          </w:p>
        </w:tc>
        <w:tc>
          <w:tcPr>
            <w:tcW w:w="3566" w:type="dxa"/>
            <w:tcBorders>
              <w:left w:val="nil"/>
              <w:bottom w:val="nil"/>
            </w:tcBorders>
          </w:tcPr>
          <w:p w14:paraId="72136C50" w14:textId="77777777" w:rsidR="002D14F9" w:rsidRDefault="002D14F9" w:rsidP="00FD61BA">
            <w:pPr>
              <w:pStyle w:val="Infotext"/>
              <w:jc w:val="both"/>
            </w:pPr>
          </w:p>
        </w:tc>
      </w:tr>
      <w:tr w:rsidR="002D14F9" w14:paraId="212570FC" w14:textId="77777777" w:rsidTr="00E06B60">
        <w:tc>
          <w:tcPr>
            <w:tcW w:w="4322" w:type="dxa"/>
            <w:gridSpan w:val="2"/>
            <w:tcBorders>
              <w:top w:val="nil"/>
              <w:bottom w:val="nil"/>
            </w:tcBorders>
          </w:tcPr>
          <w:p w14:paraId="22B22E87" w14:textId="77777777" w:rsidR="002D14F9" w:rsidRDefault="002D14F9" w:rsidP="00FD61BA">
            <w:pPr>
              <w:pStyle w:val="Infotext"/>
              <w:jc w:val="both"/>
            </w:pPr>
            <w:r>
              <w:t xml:space="preserve">Name: </w:t>
            </w:r>
            <w:r w:rsidR="002123FB">
              <w:t>Matthew Dineen</w:t>
            </w:r>
            <w:r w:rsidR="006E383B">
              <w:t xml:space="preserve"> </w:t>
            </w:r>
          </w:p>
        </w:tc>
        <w:tc>
          <w:tcPr>
            <w:tcW w:w="403" w:type="dxa"/>
            <w:gridSpan w:val="2"/>
            <w:tcBorders>
              <w:bottom w:val="single" w:sz="4" w:space="0" w:color="auto"/>
            </w:tcBorders>
          </w:tcPr>
          <w:p w14:paraId="28AFACEA" w14:textId="77777777" w:rsidR="002D14F9" w:rsidRDefault="006E383B" w:rsidP="00FD61BA">
            <w:pPr>
              <w:pStyle w:val="Infotext"/>
              <w:jc w:val="both"/>
            </w:pPr>
            <w:r>
              <w:t>X</w:t>
            </w:r>
          </w:p>
        </w:tc>
        <w:tc>
          <w:tcPr>
            <w:tcW w:w="234" w:type="dxa"/>
            <w:gridSpan w:val="2"/>
            <w:tcBorders>
              <w:top w:val="nil"/>
              <w:bottom w:val="nil"/>
              <w:right w:val="nil"/>
            </w:tcBorders>
          </w:tcPr>
          <w:p w14:paraId="76894580" w14:textId="77777777" w:rsidR="002D14F9" w:rsidRDefault="002D14F9" w:rsidP="00FD61BA">
            <w:pPr>
              <w:pStyle w:val="Infotext"/>
              <w:jc w:val="both"/>
            </w:pPr>
          </w:p>
        </w:tc>
        <w:tc>
          <w:tcPr>
            <w:tcW w:w="3566" w:type="dxa"/>
            <w:tcBorders>
              <w:top w:val="nil"/>
              <w:left w:val="nil"/>
              <w:bottom w:val="nil"/>
            </w:tcBorders>
          </w:tcPr>
          <w:p w14:paraId="0B3C3E0F" w14:textId="77777777" w:rsidR="002D14F9" w:rsidRDefault="00D0343B" w:rsidP="00FD61BA">
            <w:pPr>
              <w:pStyle w:val="Infotext"/>
              <w:jc w:val="both"/>
            </w:pPr>
            <w:r w:rsidRPr="00D0343B">
              <w:t>Monitoring Officer</w:t>
            </w:r>
          </w:p>
        </w:tc>
      </w:tr>
      <w:tr w:rsidR="002D14F9" w14:paraId="7956A212" w14:textId="77777777" w:rsidTr="00E06B60">
        <w:tc>
          <w:tcPr>
            <w:tcW w:w="4322" w:type="dxa"/>
            <w:gridSpan w:val="2"/>
            <w:tcBorders>
              <w:top w:val="nil"/>
              <w:right w:val="nil"/>
            </w:tcBorders>
          </w:tcPr>
          <w:p w14:paraId="346C3B7B" w14:textId="77777777" w:rsidR="002D14F9" w:rsidRDefault="002D14F9" w:rsidP="00FD61BA">
            <w:pPr>
              <w:pStyle w:val="Infotext"/>
              <w:jc w:val="both"/>
            </w:pPr>
          </w:p>
          <w:p w14:paraId="37329F8C" w14:textId="77777777" w:rsidR="002D14F9" w:rsidRDefault="002D14F9" w:rsidP="008C750A">
            <w:pPr>
              <w:pStyle w:val="Infotext"/>
              <w:jc w:val="both"/>
            </w:pPr>
            <w:r>
              <w:t xml:space="preserve">Date: </w:t>
            </w:r>
            <w:r w:rsidR="008C750A">
              <w:t>10/06/2020</w:t>
            </w:r>
          </w:p>
        </w:tc>
        <w:tc>
          <w:tcPr>
            <w:tcW w:w="403" w:type="dxa"/>
            <w:gridSpan w:val="2"/>
            <w:tcBorders>
              <w:left w:val="nil"/>
              <w:right w:val="nil"/>
            </w:tcBorders>
          </w:tcPr>
          <w:p w14:paraId="2C1F8ABD" w14:textId="77777777" w:rsidR="002D14F9" w:rsidRDefault="002D14F9" w:rsidP="00FD61BA">
            <w:pPr>
              <w:pStyle w:val="Infotext"/>
              <w:jc w:val="both"/>
            </w:pPr>
          </w:p>
        </w:tc>
        <w:tc>
          <w:tcPr>
            <w:tcW w:w="234" w:type="dxa"/>
            <w:gridSpan w:val="2"/>
            <w:tcBorders>
              <w:top w:val="nil"/>
              <w:left w:val="nil"/>
              <w:right w:val="nil"/>
            </w:tcBorders>
          </w:tcPr>
          <w:p w14:paraId="511A3612" w14:textId="77777777" w:rsidR="002D14F9" w:rsidRDefault="002D14F9" w:rsidP="00FD61BA">
            <w:pPr>
              <w:pStyle w:val="Infotext"/>
              <w:jc w:val="both"/>
            </w:pPr>
          </w:p>
        </w:tc>
        <w:tc>
          <w:tcPr>
            <w:tcW w:w="3566" w:type="dxa"/>
            <w:tcBorders>
              <w:top w:val="nil"/>
              <w:left w:val="nil"/>
            </w:tcBorders>
          </w:tcPr>
          <w:p w14:paraId="75994054" w14:textId="77777777" w:rsidR="002D14F9" w:rsidRDefault="002D14F9" w:rsidP="00FD61BA">
            <w:pPr>
              <w:pStyle w:val="Infotext"/>
              <w:jc w:val="both"/>
            </w:pPr>
          </w:p>
          <w:p w14:paraId="1345D705" w14:textId="77777777" w:rsidR="002D14F9" w:rsidRDefault="002D14F9" w:rsidP="00FD61BA">
            <w:pPr>
              <w:pStyle w:val="Infotext"/>
              <w:jc w:val="both"/>
            </w:pPr>
          </w:p>
        </w:tc>
      </w:tr>
      <w:tr w:rsidR="00D0343B" w14:paraId="0482B517" w14:textId="77777777" w:rsidTr="00E06B60">
        <w:tc>
          <w:tcPr>
            <w:tcW w:w="4298" w:type="dxa"/>
            <w:tcBorders>
              <w:bottom w:val="nil"/>
              <w:right w:val="nil"/>
            </w:tcBorders>
          </w:tcPr>
          <w:p w14:paraId="0B9482C8" w14:textId="77777777" w:rsidR="00D0343B" w:rsidRDefault="00D0343B" w:rsidP="00FD61BA">
            <w:pPr>
              <w:pStyle w:val="Infotext"/>
              <w:jc w:val="both"/>
            </w:pPr>
          </w:p>
          <w:p w14:paraId="5B69D80B" w14:textId="77777777" w:rsidR="00D0343B" w:rsidRDefault="00D0343B" w:rsidP="00FD61BA">
            <w:pPr>
              <w:pStyle w:val="Infotext"/>
              <w:jc w:val="both"/>
            </w:pPr>
          </w:p>
        </w:tc>
        <w:tc>
          <w:tcPr>
            <w:tcW w:w="403" w:type="dxa"/>
            <w:gridSpan w:val="2"/>
            <w:tcBorders>
              <w:left w:val="nil"/>
              <w:right w:val="nil"/>
            </w:tcBorders>
          </w:tcPr>
          <w:p w14:paraId="06921057" w14:textId="77777777" w:rsidR="00D0343B" w:rsidRDefault="00D0343B" w:rsidP="00FD61BA">
            <w:pPr>
              <w:pStyle w:val="Infotext"/>
              <w:jc w:val="both"/>
            </w:pPr>
          </w:p>
        </w:tc>
        <w:tc>
          <w:tcPr>
            <w:tcW w:w="234" w:type="dxa"/>
            <w:gridSpan w:val="2"/>
            <w:tcBorders>
              <w:left w:val="nil"/>
              <w:bottom w:val="nil"/>
              <w:right w:val="nil"/>
            </w:tcBorders>
          </w:tcPr>
          <w:p w14:paraId="2C899420" w14:textId="77777777" w:rsidR="00D0343B" w:rsidRDefault="00D0343B" w:rsidP="00FD61BA">
            <w:pPr>
              <w:pStyle w:val="Infotext"/>
              <w:jc w:val="both"/>
            </w:pPr>
          </w:p>
        </w:tc>
        <w:tc>
          <w:tcPr>
            <w:tcW w:w="3590" w:type="dxa"/>
            <w:gridSpan w:val="2"/>
            <w:tcBorders>
              <w:left w:val="nil"/>
              <w:bottom w:val="nil"/>
            </w:tcBorders>
          </w:tcPr>
          <w:p w14:paraId="35046425" w14:textId="77777777" w:rsidR="00D0343B" w:rsidRDefault="00D0343B" w:rsidP="00FD61BA">
            <w:pPr>
              <w:pStyle w:val="Infotext"/>
              <w:jc w:val="both"/>
            </w:pPr>
          </w:p>
        </w:tc>
      </w:tr>
      <w:tr w:rsidR="00D0343B" w14:paraId="6B03B9F9" w14:textId="77777777" w:rsidTr="00E06B60">
        <w:tc>
          <w:tcPr>
            <w:tcW w:w="4298" w:type="dxa"/>
            <w:tcBorders>
              <w:top w:val="nil"/>
              <w:bottom w:val="nil"/>
            </w:tcBorders>
          </w:tcPr>
          <w:p w14:paraId="2569D813" w14:textId="77777777" w:rsidR="00D0343B" w:rsidRDefault="00D0343B" w:rsidP="00FD61BA">
            <w:pPr>
              <w:pStyle w:val="Infotext"/>
              <w:jc w:val="both"/>
            </w:pPr>
            <w:r>
              <w:t xml:space="preserve">Name: </w:t>
            </w:r>
            <w:proofErr w:type="spellStart"/>
            <w:r>
              <w:t>Nimesh</w:t>
            </w:r>
            <w:proofErr w:type="spellEnd"/>
            <w:r>
              <w:t xml:space="preserve"> Mehta </w:t>
            </w:r>
          </w:p>
        </w:tc>
        <w:tc>
          <w:tcPr>
            <w:tcW w:w="403" w:type="dxa"/>
            <w:gridSpan w:val="2"/>
            <w:tcBorders>
              <w:bottom w:val="single" w:sz="4" w:space="0" w:color="auto"/>
            </w:tcBorders>
          </w:tcPr>
          <w:p w14:paraId="68930487" w14:textId="77777777" w:rsidR="00D0343B" w:rsidRDefault="006E383B" w:rsidP="00FD61BA">
            <w:pPr>
              <w:pStyle w:val="Infotext"/>
              <w:jc w:val="both"/>
            </w:pPr>
            <w:r>
              <w:t>X</w:t>
            </w:r>
          </w:p>
        </w:tc>
        <w:tc>
          <w:tcPr>
            <w:tcW w:w="234" w:type="dxa"/>
            <w:gridSpan w:val="2"/>
            <w:tcBorders>
              <w:top w:val="nil"/>
              <w:bottom w:val="nil"/>
              <w:right w:val="nil"/>
            </w:tcBorders>
          </w:tcPr>
          <w:p w14:paraId="6B218EA6" w14:textId="77777777" w:rsidR="00D0343B" w:rsidRDefault="00D0343B" w:rsidP="00FD61BA">
            <w:pPr>
              <w:pStyle w:val="Infotext"/>
              <w:jc w:val="both"/>
            </w:pPr>
          </w:p>
        </w:tc>
        <w:tc>
          <w:tcPr>
            <w:tcW w:w="3590" w:type="dxa"/>
            <w:gridSpan w:val="2"/>
            <w:tcBorders>
              <w:top w:val="nil"/>
              <w:left w:val="nil"/>
              <w:bottom w:val="nil"/>
            </w:tcBorders>
          </w:tcPr>
          <w:p w14:paraId="016A6DD2" w14:textId="77777777" w:rsidR="00D0343B" w:rsidRDefault="00D0343B" w:rsidP="00FD61BA">
            <w:pPr>
              <w:pStyle w:val="Infotext"/>
              <w:jc w:val="both"/>
            </w:pPr>
            <w:r w:rsidRPr="00D65CC2">
              <w:t>Head of Procurement</w:t>
            </w:r>
          </w:p>
        </w:tc>
      </w:tr>
      <w:tr w:rsidR="00D0343B" w14:paraId="59F9F7F8" w14:textId="77777777" w:rsidTr="00E06B60">
        <w:tc>
          <w:tcPr>
            <w:tcW w:w="4298" w:type="dxa"/>
            <w:tcBorders>
              <w:top w:val="nil"/>
              <w:right w:val="nil"/>
            </w:tcBorders>
          </w:tcPr>
          <w:p w14:paraId="09027781" w14:textId="77777777" w:rsidR="00D0343B" w:rsidRDefault="00D0343B" w:rsidP="00FD61BA">
            <w:pPr>
              <w:pStyle w:val="Infotext"/>
              <w:jc w:val="both"/>
            </w:pPr>
            <w:r>
              <w:t xml:space="preserve"> </w:t>
            </w:r>
          </w:p>
          <w:p w14:paraId="3EAF3A0C" w14:textId="77777777" w:rsidR="00D0343B" w:rsidRDefault="00D0343B" w:rsidP="008C750A">
            <w:pPr>
              <w:pStyle w:val="Infotext"/>
              <w:jc w:val="both"/>
            </w:pPr>
            <w:r>
              <w:t xml:space="preserve">Date: </w:t>
            </w:r>
            <w:r w:rsidR="008C750A">
              <w:t>10/06/2020</w:t>
            </w:r>
          </w:p>
        </w:tc>
        <w:tc>
          <w:tcPr>
            <w:tcW w:w="403" w:type="dxa"/>
            <w:gridSpan w:val="2"/>
            <w:tcBorders>
              <w:left w:val="nil"/>
              <w:bottom w:val="single" w:sz="4" w:space="0" w:color="auto"/>
              <w:right w:val="nil"/>
            </w:tcBorders>
          </w:tcPr>
          <w:p w14:paraId="6352C250" w14:textId="77777777" w:rsidR="00D0343B" w:rsidRDefault="00D0343B" w:rsidP="00FD61BA">
            <w:pPr>
              <w:pStyle w:val="Infotext"/>
              <w:jc w:val="both"/>
            </w:pPr>
          </w:p>
        </w:tc>
        <w:tc>
          <w:tcPr>
            <w:tcW w:w="234" w:type="dxa"/>
            <w:gridSpan w:val="2"/>
            <w:tcBorders>
              <w:top w:val="nil"/>
              <w:left w:val="nil"/>
              <w:right w:val="nil"/>
            </w:tcBorders>
          </w:tcPr>
          <w:p w14:paraId="78F55CBD" w14:textId="77777777" w:rsidR="00D0343B" w:rsidRDefault="00D0343B" w:rsidP="00FD61BA">
            <w:pPr>
              <w:pStyle w:val="Infotext"/>
              <w:jc w:val="both"/>
            </w:pPr>
          </w:p>
        </w:tc>
        <w:tc>
          <w:tcPr>
            <w:tcW w:w="3590" w:type="dxa"/>
            <w:gridSpan w:val="2"/>
            <w:tcBorders>
              <w:top w:val="nil"/>
              <w:left w:val="nil"/>
            </w:tcBorders>
          </w:tcPr>
          <w:p w14:paraId="77F3AB27" w14:textId="77777777" w:rsidR="00D0343B" w:rsidRDefault="00D0343B" w:rsidP="00FD61BA">
            <w:pPr>
              <w:pStyle w:val="Infotext"/>
              <w:jc w:val="both"/>
            </w:pPr>
          </w:p>
        </w:tc>
      </w:tr>
      <w:tr w:rsidR="00D0343B" w14:paraId="18D9F0BE" w14:textId="77777777" w:rsidTr="003D49BF">
        <w:tc>
          <w:tcPr>
            <w:tcW w:w="4299" w:type="dxa"/>
            <w:tcBorders>
              <w:bottom w:val="nil"/>
              <w:right w:val="nil"/>
            </w:tcBorders>
          </w:tcPr>
          <w:p w14:paraId="65AAC839" w14:textId="77777777" w:rsidR="00D0343B" w:rsidRDefault="00D0343B" w:rsidP="00FD61BA">
            <w:pPr>
              <w:pStyle w:val="Infotext"/>
              <w:jc w:val="both"/>
            </w:pPr>
          </w:p>
          <w:p w14:paraId="63D01875" w14:textId="77777777" w:rsidR="00D0343B" w:rsidRDefault="00D0343B" w:rsidP="00FD61BA">
            <w:pPr>
              <w:pStyle w:val="Infotext"/>
              <w:jc w:val="both"/>
            </w:pPr>
          </w:p>
        </w:tc>
        <w:tc>
          <w:tcPr>
            <w:tcW w:w="403" w:type="dxa"/>
            <w:gridSpan w:val="2"/>
            <w:tcBorders>
              <w:left w:val="nil"/>
              <w:right w:val="nil"/>
            </w:tcBorders>
          </w:tcPr>
          <w:p w14:paraId="414733F8" w14:textId="77777777" w:rsidR="00D0343B" w:rsidRDefault="00D0343B" w:rsidP="00FD61BA">
            <w:pPr>
              <w:pStyle w:val="Infotext"/>
              <w:jc w:val="both"/>
            </w:pPr>
          </w:p>
        </w:tc>
        <w:tc>
          <w:tcPr>
            <w:tcW w:w="234" w:type="dxa"/>
            <w:gridSpan w:val="2"/>
            <w:tcBorders>
              <w:left w:val="nil"/>
              <w:bottom w:val="nil"/>
              <w:right w:val="nil"/>
            </w:tcBorders>
          </w:tcPr>
          <w:p w14:paraId="63A18769" w14:textId="77777777" w:rsidR="00D0343B" w:rsidRDefault="00D0343B" w:rsidP="00FD61BA">
            <w:pPr>
              <w:pStyle w:val="Infotext"/>
              <w:jc w:val="both"/>
            </w:pPr>
          </w:p>
        </w:tc>
        <w:tc>
          <w:tcPr>
            <w:tcW w:w="3589" w:type="dxa"/>
            <w:gridSpan w:val="2"/>
            <w:tcBorders>
              <w:left w:val="nil"/>
              <w:bottom w:val="nil"/>
            </w:tcBorders>
          </w:tcPr>
          <w:p w14:paraId="46D4AA93" w14:textId="77777777" w:rsidR="00D0343B" w:rsidRDefault="00D0343B" w:rsidP="00FD61BA">
            <w:pPr>
              <w:pStyle w:val="Infotext"/>
              <w:jc w:val="both"/>
            </w:pPr>
          </w:p>
          <w:p w14:paraId="67A0A4AA" w14:textId="77777777" w:rsidR="00D0343B" w:rsidRDefault="00D0343B" w:rsidP="00FD61BA">
            <w:pPr>
              <w:pStyle w:val="Infotext"/>
              <w:jc w:val="both"/>
            </w:pPr>
          </w:p>
        </w:tc>
      </w:tr>
      <w:tr w:rsidR="00D0343B" w14:paraId="172C0621" w14:textId="77777777" w:rsidTr="003D49BF">
        <w:tc>
          <w:tcPr>
            <w:tcW w:w="4299" w:type="dxa"/>
            <w:tcBorders>
              <w:top w:val="nil"/>
              <w:bottom w:val="nil"/>
            </w:tcBorders>
          </w:tcPr>
          <w:p w14:paraId="7BF55A79" w14:textId="77777777" w:rsidR="00D0343B" w:rsidRDefault="00D0343B" w:rsidP="00FD61BA">
            <w:pPr>
              <w:pStyle w:val="Infotext"/>
              <w:jc w:val="both"/>
            </w:pPr>
            <w:r>
              <w:t xml:space="preserve">Name:  </w:t>
            </w:r>
            <w:r w:rsidR="00644D84">
              <w:t xml:space="preserve">Paul Walker </w:t>
            </w:r>
          </w:p>
        </w:tc>
        <w:tc>
          <w:tcPr>
            <w:tcW w:w="403" w:type="dxa"/>
            <w:gridSpan w:val="2"/>
            <w:tcBorders>
              <w:bottom w:val="single" w:sz="4" w:space="0" w:color="auto"/>
            </w:tcBorders>
          </w:tcPr>
          <w:p w14:paraId="0E9CCFAB" w14:textId="77777777" w:rsidR="00D0343B" w:rsidRDefault="006E383B" w:rsidP="00FD61BA">
            <w:pPr>
              <w:pStyle w:val="Infotext"/>
              <w:jc w:val="both"/>
            </w:pPr>
            <w:r>
              <w:t>X</w:t>
            </w:r>
          </w:p>
        </w:tc>
        <w:tc>
          <w:tcPr>
            <w:tcW w:w="234" w:type="dxa"/>
            <w:gridSpan w:val="2"/>
            <w:tcBorders>
              <w:top w:val="nil"/>
              <w:bottom w:val="nil"/>
              <w:right w:val="nil"/>
            </w:tcBorders>
          </w:tcPr>
          <w:p w14:paraId="30D78267" w14:textId="77777777" w:rsidR="00D0343B" w:rsidRDefault="00D0343B" w:rsidP="00FD61BA">
            <w:pPr>
              <w:pStyle w:val="Infotext"/>
              <w:jc w:val="both"/>
            </w:pPr>
          </w:p>
        </w:tc>
        <w:tc>
          <w:tcPr>
            <w:tcW w:w="3589" w:type="dxa"/>
            <w:gridSpan w:val="2"/>
            <w:tcBorders>
              <w:top w:val="nil"/>
              <w:left w:val="nil"/>
              <w:bottom w:val="nil"/>
            </w:tcBorders>
          </w:tcPr>
          <w:p w14:paraId="56B2747F" w14:textId="77777777" w:rsidR="00D0343B" w:rsidRDefault="00D0343B" w:rsidP="00FD61BA">
            <w:pPr>
              <w:pStyle w:val="Infotext"/>
              <w:jc w:val="both"/>
            </w:pPr>
            <w:r>
              <w:t>Corporate Director</w:t>
            </w:r>
          </w:p>
        </w:tc>
      </w:tr>
      <w:tr w:rsidR="00D0343B" w14:paraId="7D063DF7" w14:textId="77777777" w:rsidTr="003D49BF">
        <w:tc>
          <w:tcPr>
            <w:tcW w:w="4299" w:type="dxa"/>
            <w:tcBorders>
              <w:top w:val="nil"/>
              <w:right w:val="nil"/>
            </w:tcBorders>
          </w:tcPr>
          <w:p w14:paraId="0EF3D93D" w14:textId="77777777" w:rsidR="00D0343B" w:rsidRDefault="00D0343B" w:rsidP="00FD61BA">
            <w:pPr>
              <w:pStyle w:val="Infotext"/>
              <w:jc w:val="both"/>
            </w:pPr>
            <w:r>
              <w:t xml:space="preserve"> </w:t>
            </w:r>
          </w:p>
          <w:p w14:paraId="3BE1A3F2" w14:textId="195171D5" w:rsidR="00D0343B" w:rsidRDefault="00D0343B" w:rsidP="00FD61BA">
            <w:pPr>
              <w:pStyle w:val="Infotext"/>
              <w:jc w:val="both"/>
            </w:pPr>
            <w:r>
              <w:t xml:space="preserve">Date:  </w:t>
            </w:r>
            <w:r w:rsidR="002C2C36">
              <w:t>22/06/2020</w:t>
            </w:r>
          </w:p>
        </w:tc>
        <w:tc>
          <w:tcPr>
            <w:tcW w:w="403" w:type="dxa"/>
            <w:gridSpan w:val="2"/>
            <w:tcBorders>
              <w:left w:val="nil"/>
              <w:bottom w:val="single" w:sz="4" w:space="0" w:color="auto"/>
              <w:right w:val="nil"/>
            </w:tcBorders>
          </w:tcPr>
          <w:p w14:paraId="5A5B49E3" w14:textId="77777777" w:rsidR="00D0343B" w:rsidRDefault="00D0343B" w:rsidP="00FD61BA">
            <w:pPr>
              <w:pStyle w:val="Infotext"/>
              <w:jc w:val="both"/>
            </w:pPr>
          </w:p>
        </w:tc>
        <w:tc>
          <w:tcPr>
            <w:tcW w:w="234" w:type="dxa"/>
            <w:gridSpan w:val="2"/>
            <w:tcBorders>
              <w:top w:val="nil"/>
              <w:left w:val="nil"/>
              <w:right w:val="nil"/>
            </w:tcBorders>
          </w:tcPr>
          <w:p w14:paraId="7B2E7489" w14:textId="77777777" w:rsidR="00D0343B" w:rsidRDefault="00D0343B" w:rsidP="00FD61BA">
            <w:pPr>
              <w:pStyle w:val="Infotext"/>
              <w:jc w:val="both"/>
            </w:pPr>
          </w:p>
        </w:tc>
        <w:tc>
          <w:tcPr>
            <w:tcW w:w="3589" w:type="dxa"/>
            <w:gridSpan w:val="2"/>
            <w:tcBorders>
              <w:top w:val="nil"/>
              <w:left w:val="nil"/>
            </w:tcBorders>
          </w:tcPr>
          <w:p w14:paraId="40399B43" w14:textId="77777777" w:rsidR="00D0343B" w:rsidRDefault="00D0343B" w:rsidP="00FD61BA">
            <w:pPr>
              <w:pStyle w:val="Infotext"/>
              <w:jc w:val="both"/>
            </w:pPr>
          </w:p>
        </w:tc>
      </w:tr>
    </w:tbl>
    <w:p w14:paraId="73842AC2" w14:textId="77777777" w:rsidR="00D0343B" w:rsidRDefault="00D0343B" w:rsidP="00FD61BA">
      <w:pPr>
        <w:jc w:val="both"/>
      </w:pPr>
    </w:p>
    <w:p w14:paraId="30694266" w14:textId="77777777" w:rsidR="002D14F9" w:rsidRDefault="002D14F9" w:rsidP="00FD61BA">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1"/>
        <w:gridCol w:w="3370"/>
      </w:tblGrid>
      <w:tr w:rsidR="002D14F9" w14:paraId="4304E5FF" w14:textId="77777777" w:rsidTr="009346E1">
        <w:trPr>
          <w:trHeight w:val="965"/>
        </w:trPr>
        <w:tc>
          <w:tcPr>
            <w:tcW w:w="3025" w:type="pct"/>
            <w:tcBorders>
              <w:right w:val="nil"/>
            </w:tcBorders>
          </w:tcPr>
          <w:p w14:paraId="51250883" w14:textId="77777777" w:rsidR="002D14F9" w:rsidRDefault="002D14F9" w:rsidP="00FD61BA">
            <w:pPr>
              <w:pStyle w:val="Infotext"/>
              <w:jc w:val="both"/>
              <w:rPr>
                <w:rFonts w:ascii="Arial Black" w:hAnsi="Arial Black"/>
              </w:rPr>
            </w:pPr>
          </w:p>
          <w:p w14:paraId="14C4720B" w14:textId="77777777" w:rsidR="002D14F9" w:rsidRDefault="002D14F9" w:rsidP="00FD61BA">
            <w:pPr>
              <w:pStyle w:val="Infotext"/>
              <w:jc w:val="both"/>
              <w:rPr>
                <w:rFonts w:ascii="Arial Black" w:hAnsi="Arial Black"/>
              </w:rPr>
            </w:pPr>
            <w:r>
              <w:rPr>
                <w:rFonts w:ascii="Arial Black" w:hAnsi="Arial Black"/>
              </w:rPr>
              <w:t>Ward Councillors notified:</w:t>
            </w:r>
          </w:p>
          <w:p w14:paraId="4F57CB6A" w14:textId="77777777" w:rsidR="002D14F9" w:rsidRPr="00BD2E91" w:rsidRDefault="002D14F9" w:rsidP="00FD61BA">
            <w:pPr>
              <w:pStyle w:val="Infotext"/>
              <w:jc w:val="both"/>
              <w:rPr>
                <w:color w:val="FF0000"/>
              </w:rPr>
            </w:pPr>
          </w:p>
        </w:tc>
        <w:tc>
          <w:tcPr>
            <w:tcW w:w="1975" w:type="pct"/>
            <w:tcBorders>
              <w:left w:val="nil"/>
            </w:tcBorders>
          </w:tcPr>
          <w:p w14:paraId="76237CEB" w14:textId="77777777" w:rsidR="002D14F9" w:rsidRDefault="002D14F9" w:rsidP="00FD61BA">
            <w:pPr>
              <w:pStyle w:val="Infotext"/>
              <w:jc w:val="both"/>
            </w:pPr>
          </w:p>
          <w:p w14:paraId="4A7C344A" w14:textId="77777777" w:rsidR="002D14F9" w:rsidRPr="00A406F3" w:rsidRDefault="002D14F9" w:rsidP="00FD61BA">
            <w:pPr>
              <w:pStyle w:val="Infotext"/>
              <w:spacing w:before="120"/>
              <w:jc w:val="both"/>
              <w:rPr>
                <w:b/>
              </w:rPr>
            </w:pPr>
            <w:r w:rsidRPr="00A406F3">
              <w:rPr>
                <w:b/>
              </w:rPr>
              <w:t>NO</w:t>
            </w:r>
            <w:r w:rsidRPr="00333FAA">
              <w:rPr>
                <w:b/>
              </w:rPr>
              <w:t>, as it impacts on all Wards</w:t>
            </w:r>
            <w:r w:rsidRPr="00A406F3">
              <w:rPr>
                <w:b/>
              </w:rPr>
              <w:t xml:space="preserve"> </w:t>
            </w:r>
          </w:p>
          <w:p w14:paraId="19EECA89" w14:textId="77777777" w:rsidR="002D14F9" w:rsidRDefault="002D14F9" w:rsidP="00FD61BA">
            <w:pPr>
              <w:pStyle w:val="Infotext"/>
              <w:jc w:val="both"/>
              <w:rPr>
                <w:i/>
                <w:sz w:val="24"/>
                <w:szCs w:val="24"/>
              </w:rPr>
            </w:pPr>
          </w:p>
          <w:p w14:paraId="78DCA077" w14:textId="77777777" w:rsidR="002D14F9" w:rsidRPr="003D78F6" w:rsidRDefault="002D14F9" w:rsidP="00FD61BA">
            <w:pPr>
              <w:pStyle w:val="Infotext"/>
              <w:ind w:left="173"/>
              <w:jc w:val="both"/>
              <w:rPr>
                <w:i/>
                <w:sz w:val="24"/>
                <w:szCs w:val="24"/>
              </w:rPr>
            </w:pPr>
          </w:p>
        </w:tc>
      </w:tr>
      <w:tr w:rsidR="002D14F9" w:rsidRPr="00303FD6" w14:paraId="6CCA4FAE" w14:textId="77777777" w:rsidTr="009346E1">
        <w:trPr>
          <w:trHeight w:val="965"/>
        </w:trPr>
        <w:tc>
          <w:tcPr>
            <w:tcW w:w="3025" w:type="pct"/>
            <w:tcBorders>
              <w:right w:val="nil"/>
            </w:tcBorders>
          </w:tcPr>
          <w:p w14:paraId="2DF84FB7" w14:textId="77777777" w:rsidR="002D14F9" w:rsidRDefault="002D14F9" w:rsidP="00FD61BA">
            <w:pPr>
              <w:pStyle w:val="Infotext"/>
              <w:jc w:val="both"/>
              <w:rPr>
                <w:rFonts w:ascii="Arial Black" w:hAnsi="Arial Black"/>
                <w:color w:val="FF0000"/>
              </w:rPr>
            </w:pPr>
          </w:p>
          <w:p w14:paraId="2A16DE6C" w14:textId="77777777" w:rsidR="002D14F9" w:rsidRPr="00202D79" w:rsidRDefault="002D14F9" w:rsidP="00FD61BA">
            <w:pPr>
              <w:pStyle w:val="Infotext"/>
              <w:jc w:val="both"/>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14:paraId="4A5F9EE3" w14:textId="77777777" w:rsidR="002D14F9" w:rsidRPr="00202D79" w:rsidRDefault="002D14F9" w:rsidP="00FD61BA">
            <w:pPr>
              <w:pStyle w:val="Infotext"/>
              <w:jc w:val="both"/>
              <w:rPr>
                <w:rFonts w:ascii="Arial Black" w:hAnsi="Arial Black"/>
              </w:rPr>
            </w:pPr>
          </w:p>
          <w:p w14:paraId="515F5982" w14:textId="77777777" w:rsidR="002D14F9" w:rsidRPr="00303FD6" w:rsidRDefault="002D14F9" w:rsidP="00FD61BA">
            <w:pPr>
              <w:pStyle w:val="Infotext"/>
              <w:jc w:val="both"/>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left w:val="nil"/>
            </w:tcBorders>
          </w:tcPr>
          <w:p w14:paraId="51F9B168" w14:textId="77777777" w:rsidR="002D14F9" w:rsidRDefault="002D14F9" w:rsidP="00FD61BA">
            <w:pPr>
              <w:pStyle w:val="Infotext"/>
              <w:jc w:val="both"/>
              <w:rPr>
                <w:b/>
                <w:color w:val="FF0000"/>
              </w:rPr>
            </w:pPr>
          </w:p>
          <w:p w14:paraId="7317D32C" w14:textId="77777777" w:rsidR="002D14F9" w:rsidRPr="00202D79" w:rsidRDefault="00581536" w:rsidP="00FD61BA">
            <w:pPr>
              <w:pStyle w:val="Infotext"/>
              <w:jc w:val="both"/>
              <w:rPr>
                <w:b/>
              </w:rPr>
            </w:pPr>
            <w:r>
              <w:rPr>
                <w:b/>
              </w:rPr>
              <w:t>YES</w:t>
            </w:r>
          </w:p>
          <w:p w14:paraId="740D2A81" w14:textId="77777777" w:rsidR="002D14F9" w:rsidRPr="00303FD6" w:rsidRDefault="002D14F9" w:rsidP="00FD61BA">
            <w:pPr>
              <w:pStyle w:val="Infotext"/>
              <w:jc w:val="both"/>
              <w:rPr>
                <w:b/>
                <w:color w:val="FF0000"/>
              </w:rPr>
            </w:pPr>
          </w:p>
          <w:p w14:paraId="382489E1" w14:textId="77777777" w:rsidR="002D14F9" w:rsidRPr="00303FD6" w:rsidRDefault="003D49BF" w:rsidP="00FD61BA">
            <w:pPr>
              <w:pStyle w:val="Infotext"/>
              <w:jc w:val="both"/>
              <w:rPr>
                <w:color w:val="FF0000"/>
              </w:rPr>
            </w:pPr>
            <w:r>
              <w:t>Dave Corby</w:t>
            </w:r>
          </w:p>
        </w:tc>
      </w:tr>
    </w:tbl>
    <w:p w14:paraId="285FC956" w14:textId="77777777" w:rsidR="009250B6" w:rsidRDefault="009250B6" w:rsidP="00FD61BA">
      <w:pPr>
        <w:pStyle w:val="Heading1"/>
        <w:keepNext/>
        <w:jc w:val="both"/>
      </w:pPr>
    </w:p>
    <w:p w14:paraId="7DBBBD48" w14:textId="77777777" w:rsidR="009250B6" w:rsidRPr="009250B6" w:rsidRDefault="009250B6" w:rsidP="009250B6"/>
    <w:p w14:paraId="574C1976" w14:textId="38200D8C" w:rsidR="000D0C40" w:rsidRDefault="000D0C40" w:rsidP="00FD61BA">
      <w:pPr>
        <w:pStyle w:val="Heading1"/>
        <w:keepNext/>
        <w:jc w:val="both"/>
      </w:pPr>
    </w:p>
    <w:p w14:paraId="40B48635" w14:textId="688D6AA1" w:rsidR="00C63BDF" w:rsidRDefault="00C63BDF" w:rsidP="00C63BDF"/>
    <w:p w14:paraId="1440985A" w14:textId="0D2183D3" w:rsidR="00C63BDF" w:rsidRDefault="00C63BDF" w:rsidP="00C63BDF"/>
    <w:p w14:paraId="59CAE1EF" w14:textId="574A7513" w:rsidR="00C63BDF" w:rsidRDefault="00C63BDF" w:rsidP="00C63BDF"/>
    <w:p w14:paraId="5E7A3F47" w14:textId="77777777" w:rsidR="00C63BDF" w:rsidRPr="000A2B12" w:rsidRDefault="00C63BDF" w:rsidP="00C161AC"/>
    <w:p w14:paraId="26597994" w14:textId="77777777" w:rsidR="002D14F9" w:rsidRDefault="00D0343B" w:rsidP="00FD61BA">
      <w:pPr>
        <w:pStyle w:val="Heading1"/>
        <w:keepNext/>
        <w:jc w:val="both"/>
      </w:pPr>
      <w:r>
        <w:lastRenderedPageBreak/>
        <w:t xml:space="preserve">Section </w:t>
      </w:r>
      <w:r w:rsidR="009250B6">
        <w:t>8</w:t>
      </w:r>
      <w:r w:rsidR="002D14F9">
        <w:t xml:space="preserve"> - Contact Details and Background Papers</w:t>
      </w:r>
    </w:p>
    <w:p w14:paraId="5199F782" w14:textId="77777777" w:rsidR="002D14F9" w:rsidRDefault="002D14F9" w:rsidP="00FD61BA">
      <w:pPr>
        <w:keepNext/>
        <w:jc w:val="both"/>
        <w:rPr>
          <w:rFonts w:cs="Arial"/>
        </w:rPr>
      </w:pPr>
    </w:p>
    <w:p w14:paraId="1AB920C7" w14:textId="77777777" w:rsidR="002D14F9" w:rsidRPr="00B62E08" w:rsidRDefault="002D14F9" w:rsidP="00FD61BA">
      <w:pPr>
        <w:pStyle w:val="Infotext"/>
        <w:jc w:val="both"/>
      </w:pPr>
      <w:r w:rsidRPr="004E47FC">
        <w:rPr>
          <w:b/>
        </w:rPr>
        <w:t xml:space="preserve">Contact:  </w:t>
      </w:r>
      <w:r w:rsidRPr="00B62E08">
        <w:t>Paul Walker, Corporate Director, Commun</w:t>
      </w:r>
      <w:r>
        <w:t>it</w:t>
      </w:r>
      <w:r w:rsidRPr="00B62E08">
        <w:t>y</w:t>
      </w:r>
    </w:p>
    <w:p w14:paraId="4B2B3102" w14:textId="77777777" w:rsidR="002D14F9" w:rsidRPr="00A512DC" w:rsidRDefault="002D14F9" w:rsidP="00FD61BA">
      <w:pPr>
        <w:jc w:val="both"/>
        <w:rPr>
          <w:rFonts w:cs="Arial"/>
          <w:szCs w:val="28"/>
        </w:rPr>
      </w:pPr>
      <w:r w:rsidRPr="00A512DC">
        <w:rPr>
          <w:rFonts w:cs="Arial"/>
          <w:szCs w:val="28"/>
        </w:rPr>
        <w:t xml:space="preserve">E: </w:t>
      </w:r>
      <w:hyperlink r:id="rId16" w:history="1">
        <w:r w:rsidRPr="00A512DC">
          <w:rPr>
            <w:rStyle w:val="Hyperlink"/>
            <w:rFonts w:cs="Arial"/>
            <w:color w:val="auto"/>
          </w:rPr>
          <w:t>paul.walker@harrow.gov.uk</w:t>
        </w:r>
      </w:hyperlink>
    </w:p>
    <w:p w14:paraId="5303F4D7" w14:textId="77777777" w:rsidR="002D14F9" w:rsidRPr="00A512DC" w:rsidRDefault="002D14F9" w:rsidP="00FD61BA">
      <w:pPr>
        <w:jc w:val="both"/>
      </w:pPr>
      <w:r w:rsidRPr="00A512DC">
        <w:rPr>
          <w:lang w:val="en"/>
        </w:rPr>
        <w:t>T: 020 8416 8658</w:t>
      </w:r>
    </w:p>
    <w:p w14:paraId="59D4B126" w14:textId="77777777" w:rsidR="002D14F9" w:rsidRDefault="002D14F9" w:rsidP="00FD61BA">
      <w:pPr>
        <w:jc w:val="both"/>
      </w:pPr>
    </w:p>
    <w:p w14:paraId="4F9CDEDD" w14:textId="77777777" w:rsidR="002D14F9" w:rsidRPr="005C2F66" w:rsidRDefault="002D14F9" w:rsidP="00FD61BA">
      <w:pPr>
        <w:pStyle w:val="Infotext"/>
        <w:jc w:val="both"/>
      </w:pPr>
      <w:r w:rsidRPr="004E47FC">
        <w:rPr>
          <w:b/>
        </w:rPr>
        <w:t xml:space="preserve">Background Papers: </w:t>
      </w:r>
      <w:r>
        <w:rPr>
          <w:b/>
        </w:rPr>
        <w:t xml:space="preserve"> </w:t>
      </w:r>
      <w:r w:rsidR="00F8038B">
        <w:rPr>
          <w:b/>
        </w:rPr>
        <w:t>None</w:t>
      </w:r>
    </w:p>
    <w:p w14:paraId="501E98E1" w14:textId="77777777" w:rsidR="002D14F9" w:rsidRPr="00765CCB" w:rsidRDefault="002D14F9" w:rsidP="00FD61BA">
      <w:pPr>
        <w:pStyle w:val="Infotex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0"/>
        <w:gridCol w:w="548"/>
        <w:gridCol w:w="4213"/>
      </w:tblGrid>
      <w:tr w:rsidR="002D14F9" w14:paraId="7F89B27A" w14:textId="77777777" w:rsidTr="009346E1">
        <w:trPr>
          <w:trHeight w:val="965"/>
        </w:trPr>
        <w:tc>
          <w:tcPr>
            <w:tcW w:w="2210" w:type="pct"/>
            <w:tcBorders>
              <w:right w:val="nil"/>
            </w:tcBorders>
          </w:tcPr>
          <w:p w14:paraId="40DBCC5A" w14:textId="77777777" w:rsidR="002D14F9" w:rsidRDefault="002D14F9" w:rsidP="00FD61BA">
            <w:pPr>
              <w:pStyle w:val="Infotext"/>
              <w:jc w:val="both"/>
            </w:pPr>
          </w:p>
          <w:p w14:paraId="4B3B5FA7" w14:textId="77777777" w:rsidR="002D14F9" w:rsidRPr="007C0DC3" w:rsidRDefault="002D14F9" w:rsidP="00FD61BA">
            <w:pPr>
              <w:pStyle w:val="Infotext"/>
              <w:jc w:val="both"/>
              <w:rPr>
                <w:rFonts w:ascii="Arial Black" w:hAnsi="Arial Black"/>
              </w:rPr>
            </w:pPr>
            <w:r w:rsidRPr="007C0DC3">
              <w:rPr>
                <w:rFonts w:ascii="Arial Black" w:hAnsi="Arial Black"/>
              </w:rPr>
              <w:t>Call-In Waived by the Chair of Overview and Scrutiny Committee</w:t>
            </w:r>
          </w:p>
          <w:p w14:paraId="3FD16408" w14:textId="77777777" w:rsidR="002D14F9" w:rsidRDefault="002D14F9" w:rsidP="00FD61BA">
            <w:pPr>
              <w:pStyle w:val="Infotext"/>
              <w:jc w:val="both"/>
            </w:pPr>
          </w:p>
          <w:p w14:paraId="5EF762FE" w14:textId="77777777" w:rsidR="002D14F9" w:rsidRDefault="002D14F9" w:rsidP="00FD61BA">
            <w:pPr>
              <w:pStyle w:val="Infotext"/>
              <w:jc w:val="both"/>
            </w:pPr>
          </w:p>
        </w:tc>
        <w:tc>
          <w:tcPr>
            <w:tcW w:w="321" w:type="pct"/>
            <w:tcBorders>
              <w:left w:val="nil"/>
              <w:right w:val="nil"/>
            </w:tcBorders>
          </w:tcPr>
          <w:p w14:paraId="539D8D2E" w14:textId="77777777" w:rsidR="002D14F9" w:rsidRDefault="002D14F9" w:rsidP="00FD61BA">
            <w:pPr>
              <w:pStyle w:val="Infotext"/>
              <w:jc w:val="both"/>
            </w:pPr>
          </w:p>
        </w:tc>
        <w:tc>
          <w:tcPr>
            <w:tcW w:w="2469" w:type="pct"/>
            <w:tcBorders>
              <w:left w:val="nil"/>
            </w:tcBorders>
          </w:tcPr>
          <w:p w14:paraId="5E3DEE8F" w14:textId="77777777" w:rsidR="002D14F9" w:rsidRDefault="002D14F9" w:rsidP="00FD61BA">
            <w:pPr>
              <w:pStyle w:val="Infotext"/>
              <w:jc w:val="both"/>
            </w:pPr>
          </w:p>
          <w:p w14:paraId="08F5BD6B" w14:textId="77777777" w:rsidR="002D14F9" w:rsidRDefault="003362D0" w:rsidP="00FD61BA">
            <w:pPr>
              <w:pStyle w:val="Infotext"/>
              <w:jc w:val="both"/>
            </w:pPr>
            <w:r>
              <w:rPr>
                <w:b/>
              </w:rPr>
              <w:t>NO</w:t>
            </w:r>
          </w:p>
          <w:p w14:paraId="567060B3" w14:textId="77777777" w:rsidR="002D14F9" w:rsidRDefault="002D14F9" w:rsidP="00FD61BA">
            <w:pPr>
              <w:pStyle w:val="Infotext"/>
              <w:jc w:val="both"/>
            </w:pPr>
          </w:p>
          <w:p w14:paraId="303AA106" w14:textId="77777777" w:rsidR="002D14F9" w:rsidRDefault="002D14F9" w:rsidP="00FD61BA">
            <w:pPr>
              <w:pStyle w:val="Infotext"/>
              <w:jc w:val="both"/>
            </w:pPr>
          </w:p>
          <w:p w14:paraId="54402F88" w14:textId="77777777" w:rsidR="002D14F9" w:rsidRDefault="002D14F9" w:rsidP="00FD61BA">
            <w:pPr>
              <w:pStyle w:val="Infotext"/>
              <w:jc w:val="both"/>
            </w:pPr>
          </w:p>
          <w:p w14:paraId="3D6C51C4" w14:textId="77777777" w:rsidR="002D14F9" w:rsidRPr="003D78F6" w:rsidRDefault="002D14F9" w:rsidP="00FD61BA">
            <w:pPr>
              <w:pStyle w:val="Infotext"/>
              <w:ind w:left="173"/>
              <w:jc w:val="both"/>
              <w:rPr>
                <w:i/>
                <w:sz w:val="24"/>
                <w:szCs w:val="24"/>
              </w:rPr>
            </w:pPr>
          </w:p>
        </w:tc>
      </w:tr>
    </w:tbl>
    <w:p w14:paraId="6090F033" w14:textId="77777777" w:rsidR="002D58A3" w:rsidRDefault="002D58A3" w:rsidP="00FD61BA">
      <w:pPr>
        <w:jc w:val="both"/>
      </w:pPr>
    </w:p>
    <w:p w14:paraId="335BB45D" w14:textId="77777777" w:rsidR="002D14F9" w:rsidRPr="00DE71D3" w:rsidRDefault="002D14F9" w:rsidP="002D58A3"/>
    <w:sectPr w:rsidR="002D14F9" w:rsidRPr="00DE71D3" w:rsidSect="00711E80">
      <w:footerReference w:type="default" r:id="rId17"/>
      <w:footerReference w:type="first" r:id="rId18"/>
      <w:pgSz w:w="11909" w:h="16834" w:code="9"/>
      <w:pgMar w:top="720" w:right="1797" w:bottom="1440" w:left="1797" w:header="720" w:footer="43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76102" w14:textId="77777777" w:rsidR="00E2047D" w:rsidRDefault="00E2047D">
      <w:r>
        <w:separator/>
      </w:r>
    </w:p>
  </w:endnote>
  <w:endnote w:type="continuationSeparator" w:id="0">
    <w:p w14:paraId="032B1795" w14:textId="77777777" w:rsidR="00E2047D" w:rsidRDefault="00E2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Next Condensed">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732620"/>
      <w:docPartObj>
        <w:docPartGallery w:val="Page Numbers (Bottom of Page)"/>
        <w:docPartUnique/>
      </w:docPartObj>
    </w:sdtPr>
    <w:sdtEndPr>
      <w:rPr>
        <w:noProof/>
        <w:sz w:val="18"/>
      </w:rPr>
    </w:sdtEndPr>
    <w:sdtContent>
      <w:p w14:paraId="1216A8ED" w14:textId="77777777" w:rsidR="008B1521" w:rsidRPr="00A26985" w:rsidRDefault="008B1521">
        <w:pPr>
          <w:pStyle w:val="Footer"/>
          <w:jc w:val="right"/>
          <w:rPr>
            <w:sz w:val="18"/>
          </w:rPr>
        </w:pPr>
        <w:r w:rsidRPr="00A26985">
          <w:rPr>
            <w:sz w:val="18"/>
          </w:rPr>
          <w:fldChar w:fldCharType="begin"/>
        </w:r>
        <w:r w:rsidRPr="00A26985">
          <w:rPr>
            <w:sz w:val="18"/>
          </w:rPr>
          <w:instrText xml:space="preserve"> PAGE   \* MERGEFORMAT </w:instrText>
        </w:r>
        <w:r w:rsidRPr="00A26985">
          <w:rPr>
            <w:sz w:val="18"/>
          </w:rPr>
          <w:fldChar w:fldCharType="separate"/>
        </w:r>
        <w:r w:rsidR="001855EC">
          <w:rPr>
            <w:noProof/>
            <w:sz w:val="18"/>
          </w:rPr>
          <w:t>27</w:t>
        </w:r>
        <w:r w:rsidRPr="00A26985">
          <w:rPr>
            <w:noProof/>
            <w:sz w:val="18"/>
          </w:rPr>
          <w:fldChar w:fldCharType="end"/>
        </w:r>
      </w:p>
    </w:sdtContent>
  </w:sdt>
  <w:p w14:paraId="0A5B4D37" w14:textId="77777777" w:rsidR="008B1521" w:rsidRDefault="008B1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54665" w14:textId="77777777" w:rsidR="008B1521" w:rsidRDefault="008B1521">
    <w:pPr>
      <w:pStyle w:val="Footer"/>
      <w:jc w:val="right"/>
    </w:pPr>
  </w:p>
  <w:p w14:paraId="760A5672" w14:textId="77777777" w:rsidR="008B1521" w:rsidRDefault="008B1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E081E" w14:textId="77777777" w:rsidR="00E2047D" w:rsidRDefault="00E2047D">
      <w:r>
        <w:separator/>
      </w:r>
    </w:p>
  </w:footnote>
  <w:footnote w:type="continuationSeparator" w:id="0">
    <w:p w14:paraId="718FA9D1" w14:textId="77777777" w:rsidR="00E2047D" w:rsidRDefault="00E20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6F010F6"/>
    <w:multiLevelType w:val="hybridMultilevel"/>
    <w:tmpl w:val="CB565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00F66B1"/>
    <w:multiLevelType w:val="hybridMultilevel"/>
    <w:tmpl w:val="B78E5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9D35632"/>
    <w:multiLevelType w:val="hybridMultilevel"/>
    <w:tmpl w:val="2E4C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0C97468"/>
    <w:multiLevelType w:val="multilevel"/>
    <w:tmpl w:val="12D4AE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4767572"/>
    <w:multiLevelType w:val="hybridMultilevel"/>
    <w:tmpl w:val="DE28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744EB1"/>
    <w:multiLevelType w:val="hybridMultilevel"/>
    <w:tmpl w:val="2F08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7871BE"/>
    <w:multiLevelType w:val="multilevel"/>
    <w:tmpl w:val="C414A484"/>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6359186D"/>
    <w:multiLevelType w:val="hybridMultilevel"/>
    <w:tmpl w:val="86F60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3C07F7F"/>
    <w:multiLevelType w:val="hybridMultilevel"/>
    <w:tmpl w:val="DBDC3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5B8109D"/>
    <w:multiLevelType w:val="hybridMultilevel"/>
    <w:tmpl w:val="0354F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B990BC2"/>
    <w:multiLevelType w:val="hybridMultilevel"/>
    <w:tmpl w:val="7802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252815"/>
    <w:multiLevelType w:val="hybridMultilevel"/>
    <w:tmpl w:val="D80E2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C4F5479"/>
    <w:multiLevelType w:val="hybridMultilevel"/>
    <w:tmpl w:val="C3308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6532C4E"/>
    <w:multiLevelType w:val="hybridMultilevel"/>
    <w:tmpl w:val="65001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7"/>
  </w:num>
  <w:num w:numId="6">
    <w:abstractNumId w:val="1"/>
  </w:num>
  <w:num w:numId="7">
    <w:abstractNumId w:val="10"/>
  </w:num>
  <w:num w:numId="8">
    <w:abstractNumId w:val="3"/>
  </w:num>
  <w:num w:numId="9">
    <w:abstractNumId w:val="14"/>
  </w:num>
  <w:num w:numId="10">
    <w:abstractNumId w:val="2"/>
  </w:num>
  <w:num w:numId="11">
    <w:abstractNumId w:val="13"/>
  </w:num>
  <w:num w:numId="12">
    <w:abstractNumId w:val="6"/>
  </w:num>
  <w:num w:numId="13">
    <w:abstractNumId w:val="11"/>
  </w:num>
  <w:num w:numId="14">
    <w:abstractNumId w:val="0"/>
  </w:num>
  <w:num w:numId="15">
    <w:abstractNumId w:val="8"/>
  </w:num>
  <w:num w:numId="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40B"/>
    <w:rsid w:val="0000089B"/>
    <w:rsid w:val="0000133D"/>
    <w:rsid w:val="000040C6"/>
    <w:rsid w:val="00004F17"/>
    <w:rsid w:val="000107C8"/>
    <w:rsid w:val="0001160E"/>
    <w:rsid w:val="000122A4"/>
    <w:rsid w:val="00012EE6"/>
    <w:rsid w:val="000166FE"/>
    <w:rsid w:val="00021343"/>
    <w:rsid w:val="00021D56"/>
    <w:rsid w:val="00026289"/>
    <w:rsid w:val="00030CFE"/>
    <w:rsid w:val="0003242A"/>
    <w:rsid w:val="0004029A"/>
    <w:rsid w:val="00042027"/>
    <w:rsid w:val="00050E5B"/>
    <w:rsid w:val="0006034E"/>
    <w:rsid w:val="0006180A"/>
    <w:rsid w:val="00062913"/>
    <w:rsid w:val="00063331"/>
    <w:rsid w:val="000635BB"/>
    <w:rsid w:val="00063783"/>
    <w:rsid w:val="00066596"/>
    <w:rsid w:val="00073765"/>
    <w:rsid w:val="00087A17"/>
    <w:rsid w:val="00090872"/>
    <w:rsid w:val="00090BB6"/>
    <w:rsid w:val="00091001"/>
    <w:rsid w:val="00091C78"/>
    <w:rsid w:val="000929A6"/>
    <w:rsid w:val="00093ADE"/>
    <w:rsid w:val="00095DC4"/>
    <w:rsid w:val="000A2B12"/>
    <w:rsid w:val="000A38A7"/>
    <w:rsid w:val="000B15D3"/>
    <w:rsid w:val="000B1842"/>
    <w:rsid w:val="000B2D39"/>
    <w:rsid w:val="000B5015"/>
    <w:rsid w:val="000B788F"/>
    <w:rsid w:val="000C0466"/>
    <w:rsid w:val="000C4F64"/>
    <w:rsid w:val="000D0C40"/>
    <w:rsid w:val="000D4952"/>
    <w:rsid w:val="000D4E36"/>
    <w:rsid w:val="000D6D33"/>
    <w:rsid w:val="000E62FE"/>
    <w:rsid w:val="000E77E2"/>
    <w:rsid w:val="000F0434"/>
    <w:rsid w:val="000F1F98"/>
    <w:rsid w:val="000F38E8"/>
    <w:rsid w:val="000F3AA6"/>
    <w:rsid w:val="000F3ED4"/>
    <w:rsid w:val="00100619"/>
    <w:rsid w:val="00102BB7"/>
    <w:rsid w:val="00105907"/>
    <w:rsid w:val="00116142"/>
    <w:rsid w:val="001161E4"/>
    <w:rsid w:val="00121072"/>
    <w:rsid w:val="001234D5"/>
    <w:rsid w:val="00125A26"/>
    <w:rsid w:val="001346C5"/>
    <w:rsid w:val="001354E4"/>
    <w:rsid w:val="00136D08"/>
    <w:rsid w:val="001373DF"/>
    <w:rsid w:val="00137C51"/>
    <w:rsid w:val="0014179F"/>
    <w:rsid w:val="001429BD"/>
    <w:rsid w:val="00142FE5"/>
    <w:rsid w:val="00144F6A"/>
    <w:rsid w:val="0015376F"/>
    <w:rsid w:val="001537FA"/>
    <w:rsid w:val="00155016"/>
    <w:rsid w:val="0015555C"/>
    <w:rsid w:val="001614E0"/>
    <w:rsid w:val="00164538"/>
    <w:rsid w:val="001649FB"/>
    <w:rsid w:val="0016665B"/>
    <w:rsid w:val="00166781"/>
    <w:rsid w:val="00171BD8"/>
    <w:rsid w:val="00173D30"/>
    <w:rsid w:val="00175302"/>
    <w:rsid w:val="0017653E"/>
    <w:rsid w:val="00180D46"/>
    <w:rsid w:val="00181F2A"/>
    <w:rsid w:val="00182B01"/>
    <w:rsid w:val="001840D2"/>
    <w:rsid w:val="001855EC"/>
    <w:rsid w:val="00187DEE"/>
    <w:rsid w:val="00190D9D"/>
    <w:rsid w:val="00191382"/>
    <w:rsid w:val="001966D7"/>
    <w:rsid w:val="001A2D95"/>
    <w:rsid w:val="001A4ACB"/>
    <w:rsid w:val="001A549C"/>
    <w:rsid w:val="001B3C9A"/>
    <w:rsid w:val="001B4861"/>
    <w:rsid w:val="001B5666"/>
    <w:rsid w:val="001B5842"/>
    <w:rsid w:val="001B6C85"/>
    <w:rsid w:val="001C0B3C"/>
    <w:rsid w:val="001C1AF4"/>
    <w:rsid w:val="001C4D2E"/>
    <w:rsid w:val="001C7E35"/>
    <w:rsid w:val="001D486A"/>
    <w:rsid w:val="001D52AD"/>
    <w:rsid w:val="001D6F19"/>
    <w:rsid w:val="001E1E18"/>
    <w:rsid w:val="001E3C06"/>
    <w:rsid w:val="001F0037"/>
    <w:rsid w:val="001F0BE9"/>
    <w:rsid w:val="001F1FA8"/>
    <w:rsid w:val="001F302A"/>
    <w:rsid w:val="00202D79"/>
    <w:rsid w:val="002047BF"/>
    <w:rsid w:val="00205D2F"/>
    <w:rsid w:val="0021232E"/>
    <w:rsid w:val="002123FB"/>
    <w:rsid w:val="0021403A"/>
    <w:rsid w:val="00215C73"/>
    <w:rsid w:val="00215E8F"/>
    <w:rsid w:val="002236F0"/>
    <w:rsid w:val="002264DA"/>
    <w:rsid w:val="002322BB"/>
    <w:rsid w:val="00234A87"/>
    <w:rsid w:val="00236D4F"/>
    <w:rsid w:val="00237719"/>
    <w:rsid w:val="002503FE"/>
    <w:rsid w:val="00251254"/>
    <w:rsid w:val="00251670"/>
    <w:rsid w:val="00254228"/>
    <w:rsid w:val="0025451F"/>
    <w:rsid w:val="002548D1"/>
    <w:rsid w:val="00265466"/>
    <w:rsid w:val="0027283B"/>
    <w:rsid w:val="00274038"/>
    <w:rsid w:val="0028019B"/>
    <w:rsid w:val="002803EE"/>
    <w:rsid w:val="00283CAB"/>
    <w:rsid w:val="00284D9B"/>
    <w:rsid w:val="00285D92"/>
    <w:rsid w:val="002930FC"/>
    <w:rsid w:val="002A2FCC"/>
    <w:rsid w:val="002A3FEF"/>
    <w:rsid w:val="002A688A"/>
    <w:rsid w:val="002A6B4F"/>
    <w:rsid w:val="002A7535"/>
    <w:rsid w:val="002B54A6"/>
    <w:rsid w:val="002C26CB"/>
    <w:rsid w:val="002C2C36"/>
    <w:rsid w:val="002D14F9"/>
    <w:rsid w:val="002D4C6F"/>
    <w:rsid w:val="002D58A3"/>
    <w:rsid w:val="002D7E17"/>
    <w:rsid w:val="002E0B8E"/>
    <w:rsid w:val="002E4FBA"/>
    <w:rsid w:val="002F2BD5"/>
    <w:rsid w:val="002F3EE9"/>
    <w:rsid w:val="002F610B"/>
    <w:rsid w:val="00303284"/>
    <w:rsid w:val="00307F76"/>
    <w:rsid w:val="00313DCC"/>
    <w:rsid w:val="00321FBB"/>
    <w:rsid w:val="003237D9"/>
    <w:rsid w:val="003244C8"/>
    <w:rsid w:val="00333FAA"/>
    <w:rsid w:val="003355D7"/>
    <w:rsid w:val="00335807"/>
    <w:rsid w:val="003362D0"/>
    <w:rsid w:val="00341FC1"/>
    <w:rsid w:val="003425D3"/>
    <w:rsid w:val="003522DF"/>
    <w:rsid w:val="00361125"/>
    <w:rsid w:val="003619D8"/>
    <w:rsid w:val="0036201C"/>
    <w:rsid w:val="003701A7"/>
    <w:rsid w:val="00372ED0"/>
    <w:rsid w:val="00376768"/>
    <w:rsid w:val="00384D83"/>
    <w:rsid w:val="0038503F"/>
    <w:rsid w:val="00385AA9"/>
    <w:rsid w:val="00386388"/>
    <w:rsid w:val="003966C6"/>
    <w:rsid w:val="003A6A6D"/>
    <w:rsid w:val="003A7121"/>
    <w:rsid w:val="003B3B3C"/>
    <w:rsid w:val="003B4BBF"/>
    <w:rsid w:val="003B5185"/>
    <w:rsid w:val="003C0294"/>
    <w:rsid w:val="003C6428"/>
    <w:rsid w:val="003D29E9"/>
    <w:rsid w:val="003D3388"/>
    <w:rsid w:val="003D49BF"/>
    <w:rsid w:val="003D5414"/>
    <w:rsid w:val="003E18D0"/>
    <w:rsid w:val="003E1BB9"/>
    <w:rsid w:val="003E3EFF"/>
    <w:rsid w:val="003E5907"/>
    <w:rsid w:val="003F3AFD"/>
    <w:rsid w:val="004076C8"/>
    <w:rsid w:val="00410409"/>
    <w:rsid w:val="0041233D"/>
    <w:rsid w:val="004157E2"/>
    <w:rsid w:val="0041735C"/>
    <w:rsid w:val="004202C8"/>
    <w:rsid w:val="004207E3"/>
    <w:rsid w:val="00421A4C"/>
    <w:rsid w:val="004238C2"/>
    <w:rsid w:val="00424627"/>
    <w:rsid w:val="00424BDC"/>
    <w:rsid w:val="00427B84"/>
    <w:rsid w:val="004311C1"/>
    <w:rsid w:val="00432900"/>
    <w:rsid w:val="0043519C"/>
    <w:rsid w:val="00435B5D"/>
    <w:rsid w:val="004363F7"/>
    <w:rsid w:val="00441DBD"/>
    <w:rsid w:val="0044288D"/>
    <w:rsid w:val="00443E0B"/>
    <w:rsid w:val="0044525C"/>
    <w:rsid w:val="004460D6"/>
    <w:rsid w:val="00453C06"/>
    <w:rsid w:val="004553F1"/>
    <w:rsid w:val="004568B7"/>
    <w:rsid w:val="00460F76"/>
    <w:rsid w:val="00471C1F"/>
    <w:rsid w:val="00474CFA"/>
    <w:rsid w:val="00477360"/>
    <w:rsid w:val="0047745C"/>
    <w:rsid w:val="004809FA"/>
    <w:rsid w:val="0048667F"/>
    <w:rsid w:val="004908C3"/>
    <w:rsid w:val="00494E33"/>
    <w:rsid w:val="00495B8D"/>
    <w:rsid w:val="004A2FA2"/>
    <w:rsid w:val="004B0977"/>
    <w:rsid w:val="004B5DC6"/>
    <w:rsid w:val="004C4A75"/>
    <w:rsid w:val="004D08C9"/>
    <w:rsid w:val="004D1827"/>
    <w:rsid w:val="004D1CAA"/>
    <w:rsid w:val="004D2DA0"/>
    <w:rsid w:val="004E14A4"/>
    <w:rsid w:val="004F54BD"/>
    <w:rsid w:val="004F56C5"/>
    <w:rsid w:val="004F7AAD"/>
    <w:rsid w:val="00510501"/>
    <w:rsid w:val="00510E2B"/>
    <w:rsid w:val="005120B6"/>
    <w:rsid w:val="00512E57"/>
    <w:rsid w:val="0052066E"/>
    <w:rsid w:val="005207BE"/>
    <w:rsid w:val="00520DBE"/>
    <w:rsid w:val="00523DFC"/>
    <w:rsid w:val="005354D0"/>
    <w:rsid w:val="00540CC0"/>
    <w:rsid w:val="0054172C"/>
    <w:rsid w:val="0054295F"/>
    <w:rsid w:val="005457DE"/>
    <w:rsid w:val="0054590F"/>
    <w:rsid w:val="005459EC"/>
    <w:rsid w:val="00552844"/>
    <w:rsid w:val="0055377D"/>
    <w:rsid w:val="005614A5"/>
    <w:rsid w:val="00563282"/>
    <w:rsid w:val="00564C18"/>
    <w:rsid w:val="005718B5"/>
    <w:rsid w:val="005724A5"/>
    <w:rsid w:val="00575BF8"/>
    <w:rsid w:val="00575E7C"/>
    <w:rsid w:val="00576D59"/>
    <w:rsid w:val="005772FA"/>
    <w:rsid w:val="005808FB"/>
    <w:rsid w:val="00581536"/>
    <w:rsid w:val="00581FC8"/>
    <w:rsid w:val="00582605"/>
    <w:rsid w:val="005837F7"/>
    <w:rsid w:val="00587D06"/>
    <w:rsid w:val="00591016"/>
    <w:rsid w:val="00592D31"/>
    <w:rsid w:val="005A686E"/>
    <w:rsid w:val="005A68DD"/>
    <w:rsid w:val="005A74F1"/>
    <w:rsid w:val="005A7B79"/>
    <w:rsid w:val="005B0EE9"/>
    <w:rsid w:val="005B2012"/>
    <w:rsid w:val="005B3F67"/>
    <w:rsid w:val="005B55B1"/>
    <w:rsid w:val="005C1924"/>
    <w:rsid w:val="005C2F66"/>
    <w:rsid w:val="005C6F78"/>
    <w:rsid w:val="005D0DA0"/>
    <w:rsid w:val="005D2886"/>
    <w:rsid w:val="005D3199"/>
    <w:rsid w:val="005D548F"/>
    <w:rsid w:val="005D5950"/>
    <w:rsid w:val="005D63ED"/>
    <w:rsid w:val="005D6EF5"/>
    <w:rsid w:val="005E0C75"/>
    <w:rsid w:val="005E39B9"/>
    <w:rsid w:val="005E3A10"/>
    <w:rsid w:val="005E7509"/>
    <w:rsid w:val="005F1B2D"/>
    <w:rsid w:val="005F7AA7"/>
    <w:rsid w:val="00603B65"/>
    <w:rsid w:val="00605678"/>
    <w:rsid w:val="006108BA"/>
    <w:rsid w:val="006113B0"/>
    <w:rsid w:val="0061496A"/>
    <w:rsid w:val="00615C6B"/>
    <w:rsid w:val="006230B5"/>
    <w:rsid w:val="006272AE"/>
    <w:rsid w:val="006350BC"/>
    <w:rsid w:val="00636EAB"/>
    <w:rsid w:val="0064246A"/>
    <w:rsid w:val="00644D84"/>
    <w:rsid w:val="00645B8B"/>
    <w:rsid w:val="00645E2D"/>
    <w:rsid w:val="006479DF"/>
    <w:rsid w:val="0065068A"/>
    <w:rsid w:val="00653888"/>
    <w:rsid w:val="00655044"/>
    <w:rsid w:val="00661931"/>
    <w:rsid w:val="00664B4B"/>
    <w:rsid w:val="006659D2"/>
    <w:rsid w:val="00666631"/>
    <w:rsid w:val="00666922"/>
    <w:rsid w:val="00667FB9"/>
    <w:rsid w:val="00670F17"/>
    <w:rsid w:val="006710C7"/>
    <w:rsid w:val="00680B9E"/>
    <w:rsid w:val="00680EB0"/>
    <w:rsid w:val="00684310"/>
    <w:rsid w:val="00684EF1"/>
    <w:rsid w:val="00685C7B"/>
    <w:rsid w:val="00686C59"/>
    <w:rsid w:val="006903DC"/>
    <w:rsid w:val="0069299F"/>
    <w:rsid w:val="00696A83"/>
    <w:rsid w:val="006A4F81"/>
    <w:rsid w:val="006A5CE5"/>
    <w:rsid w:val="006B1EEC"/>
    <w:rsid w:val="006B5D49"/>
    <w:rsid w:val="006B6701"/>
    <w:rsid w:val="006B7A53"/>
    <w:rsid w:val="006C460C"/>
    <w:rsid w:val="006C580A"/>
    <w:rsid w:val="006D1E69"/>
    <w:rsid w:val="006D3018"/>
    <w:rsid w:val="006D3C3E"/>
    <w:rsid w:val="006D49AA"/>
    <w:rsid w:val="006D49D5"/>
    <w:rsid w:val="006D49F5"/>
    <w:rsid w:val="006E2FDF"/>
    <w:rsid w:val="006E383B"/>
    <w:rsid w:val="006E4333"/>
    <w:rsid w:val="006E6034"/>
    <w:rsid w:val="006F057C"/>
    <w:rsid w:val="006F09FA"/>
    <w:rsid w:val="006F22DA"/>
    <w:rsid w:val="006F2EB3"/>
    <w:rsid w:val="006F3AEA"/>
    <w:rsid w:val="006F491A"/>
    <w:rsid w:val="006F4D4E"/>
    <w:rsid w:val="006F52F8"/>
    <w:rsid w:val="006F6487"/>
    <w:rsid w:val="007027B7"/>
    <w:rsid w:val="00704BC4"/>
    <w:rsid w:val="0071152A"/>
    <w:rsid w:val="007116B1"/>
    <w:rsid w:val="00711E80"/>
    <w:rsid w:val="00714BEE"/>
    <w:rsid w:val="0071544D"/>
    <w:rsid w:val="007166F2"/>
    <w:rsid w:val="0071749B"/>
    <w:rsid w:val="00720A43"/>
    <w:rsid w:val="00721215"/>
    <w:rsid w:val="00725B3E"/>
    <w:rsid w:val="007261DC"/>
    <w:rsid w:val="007278EF"/>
    <w:rsid w:val="00734CDA"/>
    <w:rsid w:val="007378D7"/>
    <w:rsid w:val="00737B28"/>
    <w:rsid w:val="00737BD6"/>
    <w:rsid w:val="007400CF"/>
    <w:rsid w:val="00740667"/>
    <w:rsid w:val="00745A39"/>
    <w:rsid w:val="00746D15"/>
    <w:rsid w:val="00747527"/>
    <w:rsid w:val="007476FD"/>
    <w:rsid w:val="00751EA4"/>
    <w:rsid w:val="00753358"/>
    <w:rsid w:val="00754272"/>
    <w:rsid w:val="007652B8"/>
    <w:rsid w:val="0077066E"/>
    <w:rsid w:val="00772F7B"/>
    <w:rsid w:val="00776C9D"/>
    <w:rsid w:val="00776F52"/>
    <w:rsid w:val="00780890"/>
    <w:rsid w:val="00781A91"/>
    <w:rsid w:val="00793601"/>
    <w:rsid w:val="00795530"/>
    <w:rsid w:val="007A6403"/>
    <w:rsid w:val="007A7CB4"/>
    <w:rsid w:val="007B23FC"/>
    <w:rsid w:val="007B7222"/>
    <w:rsid w:val="007C3891"/>
    <w:rsid w:val="007C7417"/>
    <w:rsid w:val="007D0C1D"/>
    <w:rsid w:val="007D31E5"/>
    <w:rsid w:val="007D36FF"/>
    <w:rsid w:val="007D3915"/>
    <w:rsid w:val="007D4DBF"/>
    <w:rsid w:val="007D5317"/>
    <w:rsid w:val="007E0F86"/>
    <w:rsid w:val="007E4732"/>
    <w:rsid w:val="007E4BA4"/>
    <w:rsid w:val="007E63BA"/>
    <w:rsid w:val="007E6DE5"/>
    <w:rsid w:val="007E77E0"/>
    <w:rsid w:val="007F004E"/>
    <w:rsid w:val="007F191C"/>
    <w:rsid w:val="007F335A"/>
    <w:rsid w:val="007F3C08"/>
    <w:rsid w:val="00803104"/>
    <w:rsid w:val="008053AF"/>
    <w:rsid w:val="0080743D"/>
    <w:rsid w:val="00811572"/>
    <w:rsid w:val="00812901"/>
    <w:rsid w:val="00814FB7"/>
    <w:rsid w:val="0082029B"/>
    <w:rsid w:val="00821E93"/>
    <w:rsid w:val="00826B9A"/>
    <w:rsid w:val="008271FE"/>
    <w:rsid w:val="00830428"/>
    <w:rsid w:val="0084216E"/>
    <w:rsid w:val="0084427A"/>
    <w:rsid w:val="0085266D"/>
    <w:rsid w:val="0085375D"/>
    <w:rsid w:val="0085442D"/>
    <w:rsid w:val="00857C5B"/>
    <w:rsid w:val="00860F2D"/>
    <w:rsid w:val="00861F37"/>
    <w:rsid w:val="008716EF"/>
    <w:rsid w:val="00873866"/>
    <w:rsid w:val="00876DA3"/>
    <w:rsid w:val="00880EB9"/>
    <w:rsid w:val="00886F9D"/>
    <w:rsid w:val="00890E6E"/>
    <w:rsid w:val="008915BD"/>
    <w:rsid w:val="00893E63"/>
    <w:rsid w:val="00894203"/>
    <w:rsid w:val="00894411"/>
    <w:rsid w:val="00896356"/>
    <w:rsid w:val="008A400D"/>
    <w:rsid w:val="008A56DF"/>
    <w:rsid w:val="008A5AA0"/>
    <w:rsid w:val="008A6F0B"/>
    <w:rsid w:val="008A7BD4"/>
    <w:rsid w:val="008B1521"/>
    <w:rsid w:val="008B2B29"/>
    <w:rsid w:val="008B7729"/>
    <w:rsid w:val="008C032D"/>
    <w:rsid w:val="008C3C35"/>
    <w:rsid w:val="008C59F0"/>
    <w:rsid w:val="008C5BA9"/>
    <w:rsid w:val="008C750A"/>
    <w:rsid w:val="008C7E8E"/>
    <w:rsid w:val="008E224D"/>
    <w:rsid w:val="008E5498"/>
    <w:rsid w:val="008F5D0D"/>
    <w:rsid w:val="008F7BF9"/>
    <w:rsid w:val="009067C6"/>
    <w:rsid w:val="00913A9F"/>
    <w:rsid w:val="009149E6"/>
    <w:rsid w:val="009250B6"/>
    <w:rsid w:val="0092530B"/>
    <w:rsid w:val="00925881"/>
    <w:rsid w:val="009275CE"/>
    <w:rsid w:val="00930C27"/>
    <w:rsid w:val="0093202F"/>
    <w:rsid w:val="009346E1"/>
    <w:rsid w:val="00940860"/>
    <w:rsid w:val="00940ACF"/>
    <w:rsid w:val="00940DF7"/>
    <w:rsid w:val="0094208C"/>
    <w:rsid w:val="00942F17"/>
    <w:rsid w:val="00952113"/>
    <w:rsid w:val="00952CEF"/>
    <w:rsid w:val="00955421"/>
    <w:rsid w:val="00962FA8"/>
    <w:rsid w:val="00972BDE"/>
    <w:rsid w:val="00975969"/>
    <w:rsid w:val="009813F2"/>
    <w:rsid w:val="00985B5E"/>
    <w:rsid w:val="00990E9C"/>
    <w:rsid w:val="009929CB"/>
    <w:rsid w:val="00994542"/>
    <w:rsid w:val="00994908"/>
    <w:rsid w:val="009952A7"/>
    <w:rsid w:val="00996480"/>
    <w:rsid w:val="0099725C"/>
    <w:rsid w:val="009A01F4"/>
    <w:rsid w:val="009A2849"/>
    <w:rsid w:val="009B160B"/>
    <w:rsid w:val="009B55F4"/>
    <w:rsid w:val="009B77BF"/>
    <w:rsid w:val="009C237B"/>
    <w:rsid w:val="009C2D6C"/>
    <w:rsid w:val="009C4F5A"/>
    <w:rsid w:val="009D00D7"/>
    <w:rsid w:val="009D38E2"/>
    <w:rsid w:val="009D593E"/>
    <w:rsid w:val="009E1C26"/>
    <w:rsid w:val="009E3D9A"/>
    <w:rsid w:val="009E3F10"/>
    <w:rsid w:val="009E4471"/>
    <w:rsid w:val="009E4D2D"/>
    <w:rsid w:val="009E4E86"/>
    <w:rsid w:val="009E57B8"/>
    <w:rsid w:val="009E5A93"/>
    <w:rsid w:val="009E64E4"/>
    <w:rsid w:val="009F25F2"/>
    <w:rsid w:val="009F689C"/>
    <w:rsid w:val="009F7A74"/>
    <w:rsid w:val="00A00E5F"/>
    <w:rsid w:val="00A11978"/>
    <w:rsid w:val="00A120E6"/>
    <w:rsid w:val="00A17086"/>
    <w:rsid w:val="00A20113"/>
    <w:rsid w:val="00A2024F"/>
    <w:rsid w:val="00A20D78"/>
    <w:rsid w:val="00A2215F"/>
    <w:rsid w:val="00A22839"/>
    <w:rsid w:val="00A23E19"/>
    <w:rsid w:val="00A24C83"/>
    <w:rsid w:val="00A255C3"/>
    <w:rsid w:val="00A26985"/>
    <w:rsid w:val="00A3104C"/>
    <w:rsid w:val="00A31119"/>
    <w:rsid w:val="00A33185"/>
    <w:rsid w:val="00A33770"/>
    <w:rsid w:val="00A35516"/>
    <w:rsid w:val="00A35797"/>
    <w:rsid w:val="00A40BA0"/>
    <w:rsid w:val="00A506B0"/>
    <w:rsid w:val="00A53694"/>
    <w:rsid w:val="00A53B04"/>
    <w:rsid w:val="00A614AE"/>
    <w:rsid w:val="00A661F4"/>
    <w:rsid w:val="00A70A0F"/>
    <w:rsid w:val="00A7271A"/>
    <w:rsid w:val="00A74AAA"/>
    <w:rsid w:val="00A75B52"/>
    <w:rsid w:val="00A81E19"/>
    <w:rsid w:val="00A844F8"/>
    <w:rsid w:val="00A90E21"/>
    <w:rsid w:val="00A920D3"/>
    <w:rsid w:val="00A94188"/>
    <w:rsid w:val="00AA4ECF"/>
    <w:rsid w:val="00AB5959"/>
    <w:rsid w:val="00AB5AE0"/>
    <w:rsid w:val="00AB795F"/>
    <w:rsid w:val="00AC091D"/>
    <w:rsid w:val="00AC6312"/>
    <w:rsid w:val="00AC6643"/>
    <w:rsid w:val="00AC6C41"/>
    <w:rsid w:val="00AC705F"/>
    <w:rsid w:val="00AD05CF"/>
    <w:rsid w:val="00AD529B"/>
    <w:rsid w:val="00AD6D80"/>
    <w:rsid w:val="00AE12BB"/>
    <w:rsid w:val="00AE1EE2"/>
    <w:rsid w:val="00AE3DB2"/>
    <w:rsid w:val="00AF4635"/>
    <w:rsid w:val="00AF59DC"/>
    <w:rsid w:val="00B1058F"/>
    <w:rsid w:val="00B1160D"/>
    <w:rsid w:val="00B136C2"/>
    <w:rsid w:val="00B14121"/>
    <w:rsid w:val="00B24722"/>
    <w:rsid w:val="00B258FB"/>
    <w:rsid w:val="00B27153"/>
    <w:rsid w:val="00B428AC"/>
    <w:rsid w:val="00B44112"/>
    <w:rsid w:val="00B444E6"/>
    <w:rsid w:val="00B510F7"/>
    <w:rsid w:val="00B51F2A"/>
    <w:rsid w:val="00B52011"/>
    <w:rsid w:val="00B52035"/>
    <w:rsid w:val="00B53EFF"/>
    <w:rsid w:val="00B54AFA"/>
    <w:rsid w:val="00B56781"/>
    <w:rsid w:val="00B6190D"/>
    <w:rsid w:val="00B665A3"/>
    <w:rsid w:val="00B671A4"/>
    <w:rsid w:val="00B67329"/>
    <w:rsid w:val="00B804E8"/>
    <w:rsid w:val="00B85678"/>
    <w:rsid w:val="00B8585A"/>
    <w:rsid w:val="00B909DE"/>
    <w:rsid w:val="00B9791C"/>
    <w:rsid w:val="00B97C30"/>
    <w:rsid w:val="00BA6BEA"/>
    <w:rsid w:val="00BA6FD4"/>
    <w:rsid w:val="00BB0D0E"/>
    <w:rsid w:val="00BC206C"/>
    <w:rsid w:val="00BC431A"/>
    <w:rsid w:val="00BD03CF"/>
    <w:rsid w:val="00BD5C0C"/>
    <w:rsid w:val="00BD7DCD"/>
    <w:rsid w:val="00BE11EC"/>
    <w:rsid w:val="00BE23EE"/>
    <w:rsid w:val="00BE249E"/>
    <w:rsid w:val="00BE4EEB"/>
    <w:rsid w:val="00BF664A"/>
    <w:rsid w:val="00C01A35"/>
    <w:rsid w:val="00C02B8B"/>
    <w:rsid w:val="00C03772"/>
    <w:rsid w:val="00C04EDA"/>
    <w:rsid w:val="00C119A2"/>
    <w:rsid w:val="00C128C5"/>
    <w:rsid w:val="00C13FC0"/>
    <w:rsid w:val="00C161AC"/>
    <w:rsid w:val="00C22AB5"/>
    <w:rsid w:val="00C33DAD"/>
    <w:rsid w:val="00C36E88"/>
    <w:rsid w:val="00C408E1"/>
    <w:rsid w:val="00C51B4A"/>
    <w:rsid w:val="00C5381B"/>
    <w:rsid w:val="00C54687"/>
    <w:rsid w:val="00C54B42"/>
    <w:rsid w:val="00C57267"/>
    <w:rsid w:val="00C6118A"/>
    <w:rsid w:val="00C62B63"/>
    <w:rsid w:val="00C63BDF"/>
    <w:rsid w:val="00C65655"/>
    <w:rsid w:val="00C72B5B"/>
    <w:rsid w:val="00C73375"/>
    <w:rsid w:val="00C7412E"/>
    <w:rsid w:val="00C774A3"/>
    <w:rsid w:val="00C77CA2"/>
    <w:rsid w:val="00C82820"/>
    <w:rsid w:val="00C94E83"/>
    <w:rsid w:val="00CA1C90"/>
    <w:rsid w:val="00CA1E80"/>
    <w:rsid w:val="00CA229A"/>
    <w:rsid w:val="00CA7BA3"/>
    <w:rsid w:val="00CC296D"/>
    <w:rsid w:val="00CC59E4"/>
    <w:rsid w:val="00CC5D68"/>
    <w:rsid w:val="00CD27FA"/>
    <w:rsid w:val="00CD2997"/>
    <w:rsid w:val="00CD2FC2"/>
    <w:rsid w:val="00CD3111"/>
    <w:rsid w:val="00CD4B09"/>
    <w:rsid w:val="00CD521B"/>
    <w:rsid w:val="00CD5E6D"/>
    <w:rsid w:val="00CD7D5D"/>
    <w:rsid w:val="00CE14F2"/>
    <w:rsid w:val="00CE77E8"/>
    <w:rsid w:val="00CF0FC4"/>
    <w:rsid w:val="00CF6932"/>
    <w:rsid w:val="00D005D0"/>
    <w:rsid w:val="00D01FE3"/>
    <w:rsid w:val="00D02706"/>
    <w:rsid w:val="00D0343B"/>
    <w:rsid w:val="00D03A69"/>
    <w:rsid w:val="00D03B0F"/>
    <w:rsid w:val="00D06418"/>
    <w:rsid w:val="00D06CA3"/>
    <w:rsid w:val="00D07F46"/>
    <w:rsid w:val="00D1309D"/>
    <w:rsid w:val="00D170E5"/>
    <w:rsid w:val="00D174A7"/>
    <w:rsid w:val="00D2096A"/>
    <w:rsid w:val="00D22954"/>
    <w:rsid w:val="00D2490A"/>
    <w:rsid w:val="00D265CF"/>
    <w:rsid w:val="00D3199C"/>
    <w:rsid w:val="00D34516"/>
    <w:rsid w:val="00D37F2F"/>
    <w:rsid w:val="00D415B9"/>
    <w:rsid w:val="00D46379"/>
    <w:rsid w:val="00D46743"/>
    <w:rsid w:val="00D528E8"/>
    <w:rsid w:val="00D5434C"/>
    <w:rsid w:val="00D549E0"/>
    <w:rsid w:val="00D558DC"/>
    <w:rsid w:val="00D65CC2"/>
    <w:rsid w:val="00D6766D"/>
    <w:rsid w:val="00D70398"/>
    <w:rsid w:val="00D7237B"/>
    <w:rsid w:val="00D73279"/>
    <w:rsid w:val="00D735F0"/>
    <w:rsid w:val="00D771D0"/>
    <w:rsid w:val="00D82BEA"/>
    <w:rsid w:val="00D835CF"/>
    <w:rsid w:val="00D84809"/>
    <w:rsid w:val="00D84B4C"/>
    <w:rsid w:val="00D8547E"/>
    <w:rsid w:val="00D87AC4"/>
    <w:rsid w:val="00D938F3"/>
    <w:rsid w:val="00DA08F3"/>
    <w:rsid w:val="00DA26FB"/>
    <w:rsid w:val="00DA39EB"/>
    <w:rsid w:val="00DA5EFB"/>
    <w:rsid w:val="00DA694B"/>
    <w:rsid w:val="00DB1B67"/>
    <w:rsid w:val="00DB5267"/>
    <w:rsid w:val="00DB6C3D"/>
    <w:rsid w:val="00DC1A13"/>
    <w:rsid w:val="00DC4440"/>
    <w:rsid w:val="00DC4E97"/>
    <w:rsid w:val="00DC5ACF"/>
    <w:rsid w:val="00DD66D9"/>
    <w:rsid w:val="00DD7468"/>
    <w:rsid w:val="00DE25E9"/>
    <w:rsid w:val="00DE71D3"/>
    <w:rsid w:val="00DE72CF"/>
    <w:rsid w:val="00DF08A0"/>
    <w:rsid w:val="00DF210D"/>
    <w:rsid w:val="00DF5177"/>
    <w:rsid w:val="00E01F6A"/>
    <w:rsid w:val="00E063E4"/>
    <w:rsid w:val="00E06B60"/>
    <w:rsid w:val="00E11EAF"/>
    <w:rsid w:val="00E12C68"/>
    <w:rsid w:val="00E12F1E"/>
    <w:rsid w:val="00E13F46"/>
    <w:rsid w:val="00E15528"/>
    <w:rsid w:val="00E2047D"/>
    <w:rsid w:val="00E218E5"/>
    <w:rsid w:val="00E2281E"/>
    <w:rsid w:val="00E22E61"/>
    <w:rsid w:val="00E252E3"/>
    <w:rsid w:val="00E27D17"/>
    <w:rsid w:val="00E315DC"/>
    <w:rsid w:val="00E31B67"/>
    <w:rsid w:val="00E3692E"/>
    <w:rsid w:val="00E418DF"/>
    <w:rsid w:val="00E43A11"/>
    <w:rsid w:val="00E571A3"/>
    <w:rsid w:val="00E6027D"/>
    <w:rsid w:val="00E60C61"/>
    <w:rsid w:val="00E6419F"/>
    <w:rsid w:val="00E669B9"/>
    <w:rsid w:val="00E70760"/>
    <w:rsid w:val="00E72AC8"/>
    <w:rsid w:val="00E72D57"/>
    <w:rsid w:val="00E866A5"/>
    <w:rsid w:val="00E873DB"/>
    <w:rsid w:val="00E87F74"/>
    <w:rsid w:val="00E924EF"/>
    <w:rsid w:val="00E9253C"/>
    <w:rsid w:val="00E95406"/>
    <w:rsid w:val="00E96C1A"/>
    <w:rsid w:val="00E9779F"/>
    <w:rsid w:val="00EA6D7B"/>
    <w:rsid w:val="00EB4367"/>
    <w:rsid w:val="00EB45B5"/>
    <w:rsid w:val="00EB5E57"/>
    <w:rsid w:val="00EB61DB"/>
    <w:rsid w:val="00EC54FC"/>
    <w:rsid w:val="00ED4AFD"/>
    <w:rsid w:val="00ED6389"/>
    <w:rsid w:val="00EE003A"/>
    <w:rsid w:val="00EE0595"/>
    <w:rsid w:val="00EE4FBE"/>
    <w:rsid w:val="00EE6155"/>
    <w:rsid w:val="00EE7417"/>
    <w:rsid w:val="00EF2F55"/>
    <w:rsid w:val="00EF51F2"/>
    <w:rsid w:val="00EF5247"/>
    <w:rsid w:val="00EF6736"/>
    <w:rsid w:val="00F12651"/>
    <w:rsid w:val="00F147AA"/>
    <w:rsid w:val="00F2086E"/>
    <w:rsid w:val="00F22C26"/>
    <w:rsid w:val="00F2339E"/>
    <w:rsid w:val="00F24A69"/>
    <w:rsid w:val="00F355DD"/>
    <w:rsid w:val="00F42327"/>
    <w:rsid w:val="00F42C5E"/>
    <w:rsid w:val="00F517E1"/>
    <w:rsid w:val="00F5649A"/>
    <w:rsid w:val="00F56936"/>
    <w:rsid w:val="00F61475"/>
    <w:rsid w:val="00F667FD"/>
    <w:rsid w:val="00F66E4F"/>
    <w:rsid w:val="00F67DC5"/>
    <w:rsid w:val="00F76EFC"/>
    <w:rsid w:val="00F8038B"/>
    <w:rsid w:val="00F82342"/>
    <w:rsid w:val="00F877DB"/>
    <w:rsid w:val="00F91AE4"/>
    <w:rsid w:val="00F93C8B"/>
    <w:rsid w:val="00F94297"/>
    <w:rsid w:val="00F959DD"/>
    <w:rsid w:val="00F960D5"/>
    <w:rsid w:val="00F97B3C"/>
    <w:rsid w:val="00F97C2E"/>
    <w:rsid w:val="00FA176B"/>
    <w:rsid w:val="00FA189B"/>
    <w:rsid w:val="00FB1231"/>
    <w:rsid w:val="00FB5CC6"/>
    <w:rsid w:val="00FB6CCE"/>
    <w:rsid w:val="00FC17C7"/>
    <w:rsid w:val="00FC1C5C"/>
    <w:rsid w:val="00FC2721"/>
    <w:rsid w:val="00FC7017"/>
    <w:rsid w:val="00FD09E7"/>
    <w:rsid w:val="00FD1F1E"/>
    <w:rsid w:val="00FD3E30"/>
    <w:rsid w:val="00FD4464"/>
    <w:rsid w:val="00FD61BA"/>
    <w:rsid w:val="00FE17E2"/>
    <w:rsid w:val="00FE2290"/>
    <w:rsid w:val="00FF2488"/>
    <w:rsid w:val="00FF52D7"/>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DD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w:semiHidden="0" w:unhideWhenUsed="0"/>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1">
    <w:name w:val="Char Char Char Char1"/>
    <w:basedOn w:val="Normal"/>
    <w:locked/>
    <w:rsid w:val="002D14F9"/>
    <w:pPr>
      <w:spacing w:after="160" w:line="240" w:lineRule="exact"/>
    </w:pPr>
    <w:rPr>
      <w:rFonts w:ascii="Verdana" w:hAnsi="Verdana"/>
      <w:sz w:val="20"/>
      <w:lang w:val="en-US"/>
    </w:rPr>
  </w:style>
  <w:style w:type="character" w:customStyle="1" w:styleId="Heading2Char">
    <w:name w:val="Heading 2 Char"/>
    <w:link w:val="Heading2"/>
    <w:uiPriority w:val="9"/>
    <w:rsid w:val="002D14F9"/>
    <w:rPr>
      <w:rFonts w:ascii="Arial" w:hAnsi="Arial" w:cs="Arial"/>
      <w:b/>
      <w:bCs/>
      <w:sz w:val="28"/>
      <w:szCs w:val="32"/>
      <w:lang w:eastAsia="en-US"/>
    </w:rPr>
  </w:style>
  <w:style w:type="paragraph" w:styleId="CommentText">
    <w:name w:val="annotation text"/>
    <w:basedOn w:val="Normal"/>
    <w:link w:val="CommentTextChar"/>
    <w:uiPriority w:val="99"/>
    <w:unhideWhenUsed/>
    <w:rsid w:val="002D14F9"/>
    <w:rPr>
      <w:rFonts w:ascii="Calibri" w:eastAsia="Calibri" w:hAnsi="Calibri" w:cs="Calibri"/>
      <w:sz w:val="20"/>
    </w:rPr>
  </w:style>
  <w:style w:type="character" w:customStyle="1" w:styleId="CommentTextChar">
    <w:name w:val="Comment Text Char"/>
    <w:basedOn w:val="DefaultParagraphFont"/>
    <w:link w:val="CommentText"/>
    <w:uiPriority w:val="99"/>
    <w:rsid w:val="002D14F9"/>
    <w:rPr>
      <w:rFonts w:ascii="Calibri" w:eastAsia="Calibri" w:hAnsi="Calibri" w:cs="Calibri"/>
      <w:lang w:eastAsia="en-US"/>
    </w:rPr>
  </w:style>
  <w:style w:type="character" w:customStyle="1" w:styleId="Heading4Char">
    <w:name w:val="Heading 4 Char"/>
    <w:link w:val="Heading4"/>
    <w:rsid w:val="002D14F9"/>
    <w:rPr>
      <w:rFonts w:ascii="Arial" w:hAnsi="Arial" w:cs="Arial"/>
      <w:b/>
      <w:sz w:val="24"/>
      <w:lang w:eastAsia="en-US"/>
    </w:rPr>
  </w:style>
  <w:style w:type="paragraph" w:customStyle="1" w:styleId="Pa6">
    <w:name w:val="Pa6"/>
    <w:basedOn w:val="Normal"/>
    <w:next w:val="Normal"/>
    <w:uiPriority w:val="99"/>
    <w:rsid w:val="002D14F9"/>
    <w:pPr>
      <w:autoSpaceDE w:val="0"/>
      <w:autoSpaceDN w:val="0"/>
      <w:adjustRightInd w:val="0"/>
      <w:spacing w:line="241" w:lineRule="atLeast"/>
    </w:pPr>
    <w:rPr>
      <w:rFonts w:ascii="Avenir Next Condensed" w:hAnsi="Avenir Next Condensed"/>
      <w:szCs w:val="24"/>
      <w:lang w:eastAsia="en-GB"/>
    </w:rPr>
  </w:style>
  <w:style w:type="character" w:customStyle="1" w:styleId="A5">
    <w:name w:val="A5"/>
    <w:uiPriority w:val="99"/>
    <w:rsid w:val="002D14F9"/>
    <w:rPr>
      <w:rFonts w:cs="Avenir Next Condensed"/>
      <w:color w:val="801D67"/>
      <w:sz w:val="28"/>
      <w:szCs w:val="28"/>
    </w:rPr>
  </w:style>
  <w:style w:type="paragraph" w:styleId="NoSpacing">
    <w:name w:val="No Spacing"/>
    <w:link w:val="NoSpacingChar"/>
    <w:uiPriority w:val="1"/>
    <w:qFormat/>
    <w:rsid w:val="002D14F9"/>
    <w:rPr>
      <w:rFonts w:ascii="Calibri" w:hAnsi="Calibri"/>
      <w:sz w:val="22"/>
      <w:szCs w:val="22"/>
      <w:lang w:val="en-US" w:eastAsia="ja-JP"/>
    </w:rPr>
  </w:style>
  <w:style w:type="character" w:customStyle="1" w:styleId="NoSpacingChar">
    <w:name w:val="No Spacing Char"/>
    <w:link w:val="NoSpacing"/>
    <w:uiPriority w:val="1"/>
    <w:rsid w:val="002D14F9"/>
    <w:rPr>
      <w:rFonts w:ascii="Calibri" w:hAnsi="Calibri"/>
      <w:sz w:val="22"/>
      <w:szCs w:val="22"/>
      <w:lang w:val="en-US" w:eastAsia="ja-JP"/>
    </w:rPr>
  </w:style>
  <w:style w:type="paragraph" w:customStyle="1" w:styleId="Default">
    <w:name w:val="Default"/>
    <w:rsid w:val="002D14F9"/>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2D14F9"/>
    <w:rPr>
      <w:rFonts w:ascii="Arial Black" w:hAnsi="Arial Black" w:cs="Arial"/>
      <w:bCs/>
      <w:sz w:val="32"/>
      <w:szCs w:val="32"/>
      <w:lang w:eastAsia="en-US"/>
    </w:rPr>
  </w:style>
  <w:style w:type="paragraph" w:styleId="BalloonText">
    <w:name w:val="Balloon Text"/>
    <w:basedOn w:val="Normal"/>
    <w:link w:val="BalloonTextChar"/>
    <w:rsid w:val="005F7AA7"/>
    <w:rPr>
      <w:rFonts w:ascii="Tahoma" w:hAnsi="Tahoma" w:cs="Tahoma"/>
      <w:sz w:val="16"/>
      <w:szCs w:val="16"/>
    </w:rPr>
  </w:style>
  <w:style w:type="character" w:customStyle="1" w:styleId="BalloonTextChar">
    <w:name w:val="Balloon Text Char"/>
    <w:basedOn w:val="DefaultParagraphFont"/>
    <w:link w:val="BalloonText"/>
    <w:rsid w:val="005F7AA7"/>
    <w:rPr>
      <w:rFonts w:ascii="Tahoma" w:hAnsi="Tahoma" w:cs="Tahoma"/>
      <w:sz w:val="16"/>
      <w:szCs w:val="16"/>
      <w:lang w:eastAsia="en-US"/>
    </w:rPr>
  </w:style>
  <w:style w:type="character" w:styleId="CommentReference">
    <w:name w:val="annotation reference"/>
    <w:basedOn w:val="DefaultParagraphFont"/>
    <w:uiPriority w:val="99"/>
    <w:rsid w:val="00D02706"/>
    <w:rPr>
      <w:sz w:val="16"/>
      <w:szCs w:val="16"/>
    </w:rPr>
  </w:style>
  <w:style w:type="paragraph" w:styleId="CommentSubject">
    <w:name w:val="annotation subject"/>
    <w:basedOn w:val="CommentText"/>
    <w:next w:val="CommentText"/>
    <w:link w:val="CommentSubjectChar"/>
    <w:rsid w:val="00D02706"/>
    <w:rPr>
      <w:rFonts w:ascii="Arial" w:eastAsia="Times New Roman" w:hAnsi="Arial" w:cs="Times New Roman"/>
      <w:b/>
      <w:bCs/>
    </w:rPr>
  </w:style>
  <w:style w:type="character" w:customStyle="1" w:styleId="CommentSubjectChar">
    <w:name w:val="Comment Subject Char"/>
    <w:basedOn w:val="CommentTextChar"/>
    <w:link w:val="CommentSubject"/>
    <w:rsid w:val="00D02706"/>
    <w:rPr>
      <w:rFonts w:ascii="Arial" w:eastAsia="Calibri" w:hAnsi="Arial" w:cs="Calibri"/>
      <w:b/>
      <w:bCs/>
      <w:lang w:eastAsia="en-US"/>
    </w:rPr>
  </w:style>
  <w:style w:type="character" w:customStyle="1" w:styleId="FooterChar">
    <w:name w:val="Footer Char"/>
    <w:basedOn w:val="DefaultParagraphFont"/>
    <w:link w:val="Footer"/>
    <w:uiPriority w:val="99"/>
    <w:rsid w:val="00285D92"/>
    <w:rPr>
      <w:rFonts w:ascii="Arial" w:hAnsi="Arial"/>
      <w:sz w:val="24"/>
      <w:szCs w:val="24"/>
      <w:lang w:val="en-US" w:eastAsia="en-US"/>
    </w:rPr>
  </w:style>
  <w:style w:type="table" w:styleId="TableList4">
    <w:name w:val="Table List 4"/>
    <w:basedOn w:val="TableNormal"/>
    <w:rsid w:val="002A2FC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Revision">
    <w:name w:val="Revision"/>
    <w:hidden/>
    <w:uiPriority w:val="99"/>
    <w:semiHidden/>
    <w:rsid w:val="0064246A"/>
    <w:rPr>
      <w:rFonts w:ascii="Arial" w:hAnsi="Arial"/>
      <w:sz w:val="24"/>
      <w:lang w:eastAsia="en-US"/>
    </w:rPr>
  </w:style>
  <w:style w:type="paragraph" w:customStyle="1" w:styleId="ydp9eff9ea6yiv7856943775msonormal">
    <w:name w:val="ydp9eff9ea6yiv7856943775msonormal"/>
    <w:basedOn w:val="Normal"/>
    <w:rsid w:val="0077066E"/>
    <w:pPr>
      <w:spacing w:before="100" w:beforeAutospacing="1" w:after="100" w:afterAutospacing="1"/>
    </w:pPr>
    <w:rPr>
      <w:rFonts w:ascii="Times New Roman" w:eastAsiaTheme="minorHAnsi"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w:semiHidden="0" w:unhideWhenUsed="0"/>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1">
    <w:name w:val="Char Char Char Char1"/>
    <w:basedOn w:val="Normal"/>
    <w:locked/>
    <w:rsid w:val="002D14F9"/>
    <w:pPr>
      <w:spacing w:after="160" w:line="240" w:lineRule="exact"/>
    </w:pPr>
    <w:rPr>
      <w:rFonts w:ascii="Verdana" w:hAnsi="Verdana"/>
      <w:sz w:val="20"/>
      <w:lang w:val="en-US"/>
    </w:rPr>
  </w:style>
  <w:style w:type="character" w:customStyle="1" w:styleId="Heading2Char">
    <w:name w:val="Heading 2 Char"/>
    <w:link w:val="Heading2"/>
    <w:uiPriority w:val="9"/>
    <w:rsid w:val="002D14F9"/>
    <w:rPr>
      <w:rFonts w:ascii="Arial" w:hAnsi="Arial" w:cs="Arial"/>
      <w:b/>
      <w:bCs/>
      <w:sz w:val="28"/>
      <w:szCs w:val="32"/>
      <w:lang w:eastAsia="en-US"/>
    </w:rPr>
  </w:style>
  <w:style w:type="paragraph" w:styleId="CommentText">
    <w:name w:val="annotation text"/>
    <w:basedOn w:val="Normal"/>
    <w:link w:val="CommentTextChar"/>
    <w:uiPriority w:val="99"/>
    <w:unhideWhenUsed/>
    <w:rsid w:val="002D14F9"/>
    <w:rPr>
      <w:rFonts w:ascii="Calibri" w:eastAsia="Calibri" w:hAnsi="Calibri" w:cs="Calibri"/>
      <w:sz w:val="20"/>
    </w:rPr>
  </w:style>
  <w:style w:type="character" w:customStyle="1" w:styleId="CommentTextChar">
    <w:name w:val="Comment Text Char"/>
    <w:basedOn w:val="DefaultParagraphFont"/>
    <w:link w:val="CommentText"/>
    <w:uiPriority w:val="99"/>
    <w:rsid w:val="002D14F9"/>
    <w:rPr>
      <w:rFonts w:ascii="Calibri" w:eastAsia="Calibri" w:hAnsi="Calibri" w:cs="Calibri"/>
      <w:lang w:eastAsia="en-US"/>
    </w:rPr>
  </w:style>
  <w:style w:type="character" w:customStyle="1" w:styleId="Heading4Char">
    <w:name w:val="Heading 4 Char"/>
    <w:link w:val="Heading4"/>
    <w:rsid w:val="002D14F9"/>
    <w:rPr>
      <w:rFonts w:ascii="Arial" w:hAnsi="Arial" w:cs="Arial"/>
      <w:b/>
      <w:sz w:val="24"/>
      <w:lang w:eastAsia="en-US"/>
    </w:rPr>
  </w:style>
  <w:style w:type="paragraph" w:customStyle="1" w:styleId="Pa6">
    <w:name w:val="Pa6"/>
    <w:basedOn w:val="Normal"/>
    <w:next w:val="Normal"/>
    <w:uiPriority w:val="99"/>
    <w:rsid w:val="002D14F9"/>
    <w:pPr>
      <w:autoSpaceDE w:val="0"/>
      <w:autoSpaceDN w:val="0"/>
      <w:adjustRightInd w:val="0"/>
      <w:spacing w:line="241" w:lineRule="atLeast"/>
    </w:pPr>
    <w:rPr>
      <w:rFonts w:ascii="Avenir Next Condensed" w:hAnsi="Avenir Next Condensed"/>
      <w:szCs w:val="24"/>
      <w:lang w:eastAsia="en-GB"/>
    </w:rPr>
  </w:style>
  <w:style w:type="character" w:customStyle="1" w:styleId="A5">
    <w:name w:val="A5"/>
    <w:uiPriority w:val="99"/>
    <w:rsid w:val="002D14F9"/>
    <w:rPr>
      <w:rFonts w:cs="Avenir Next Condensed"/>
      <w:color w:val="801D67"/>
      <w:sz w:val="28"/>
      <w:szCs w:val="28"/>
    </w:rPr>
  </w:style>
  <w:style w:type="paragraph" w:styleId="NoSpacing">
    <w:name w:val="No Spacing"/>
    <w:link w:val="NoSpacingChar"/>
    <w:uiPriority w:val="1"/>
    <w:qFormat/>
    <w:rsid w:val="002D14F9"/>
    <w:rPr>
      <w:rFonts w:ascii="Calibri" w:hAnsi="Calibri"/>
      <w:sz w:val="22"/>
      <w:szCs w:val="22"/>
      <w:lang w:val="en-US" w:eastAsia="ja-JP"/>
    </w:rPr>
  </w:style>
  <w:style w:type="character" w:customStyle="1" w:styleId="NoSpacingChar">
    <w:name w:val="No Spacing Char"/>
    <w:link w:val="NoSpacing"/>
    <w:uiPriority w:val="1"/>
    <w:rsid w:val="002D14F9"/>
    <w:rPr>
      <w:rFonts w:ascii="Calibri" w:hAnsi="Calibri"/>
      <w:sz w:val="22"/>
      <w:szCs w:val="22"/>
      <w:lang w:val="en-US" w:eastAsia="ja-JP"/>
    </w:rPr>
  </w:style>
  <w:style w:type="paragraph" w:customStyle="1" w:styleId="Default">
    <w:name w:val="Default"/>
    <w:rsid w:val="002D14F9"/>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2D14F9"/>
    <w:rPr>
      <w:rFonts w:ascii="Arial Black" w:hAnsi="Arial Black" w:cs="Arial"/>
      <w:bCs/>
      <w:sz w:val="32"/>
      <w:szCs w:val="32"/>
      <w:lang w:eastAsia="en-US"/>
    </w:rPr>
  </w:style>
  <w:style w:type="paragraph" w:styleId="BalloonText">
    <w:name w:val="Balloon Text"/>
    <w:basedOn w:val="Normal"/>
    <w:link w:val="BalloonTextChar"/>
    <w:rsid w:val="005F7AA7"/>
    <w:rPr>
      <w:rFonts w:ascii="Tahoma" w:hAnsi="Tahoma" w:cs="Tahoma"/>
      <w:sz w:val="16"/>
      <w:szCs w:val="16"/>
    </w:rPr>
  </w:style>
  <w:style w:type="character" w:customStyle="1" w:styleId="BalloonTextChar">
    <w:name w:val="Balloon Text Char"/>
    <w:basedOn w:val="DefaultParagraphFont"/>
    <w:link w:val="BalloonText"/>
    <w:rsid w:val="005F7AA7"/>
    <w:rPr>
      <w:rFonts w:ascii="Tahoma" w:hAnsi="Tahoma" w:cs="Tahoma"/>
      <w:sz w:val="16"/>
      <w:szCs w:val="16"/>
      <w:lang w:eastAsia="en-US"/>
    </w:rPr>
  </w:style>
  <w:style w:type="character" w:styleId="CommentReference">
    <w:name w:val="annotation reference"/>
    <w:basedOn w:val="DefaultParagraphFont"/>
    <w:uiPriority w:val="99"/>
    <w:rsid w:val="00D02706"/>
    <w:rPr>
      <w:sz w:val="16"/>
      <w:szCs w:val="16"/>
    </w:rPr>
  </w:style>
  <w:style w:type="paragraph" w:styleId="CommentSubject">
    <w:name w:val="annotation subject"/>
    <w:basedOn w:val="CommentText"/>
    <w:next w:val="CommentText"/>
    <w:link w:val="CommentSubjectChar"/>
    <w:rsid w:val="00D02706"/>
    <w:rPr>
      <w:rFonts w:ascii="Arial" w:eastAsia="Times New Roman" w:hAnsi="Arial" w:cs="Times New Roman"/>
      <w:b/>
      <w:bCs/>
    </w:rPr>
  </w:style>
  <w:style w:type="character" w:customStyle="1" w:styleId="CommentSubjectChar">
    <w:name w:val="Comment Subject Char"/>
    <w:basedOn w:val="CommentTextChar"/>
    <w:link w:val="CommentSubject"/>
    <w:rsid w:val="00D02706"/>
    <w:rPr>
      <w:rFonts w:ascii="Arial" w:eastAsia="Calibri" w:hAnsi="Arial" w:cs="Calibri"/>
      <w:b/>
      <w:bCs/>
      <w:lang w:eastAsia="en-US"/>
    </w:rPr>
  </w:style>
  <w:style w:type="character" w:customStyle="1" w:styleId="FooterChar">
    <w:name w:val="Footer Char"/>
    <w:basedOn w:val="DefaultParagraphFont"/>
    <w:link w:val="Footer"/>
    <w:uiPriority w:val="99"/>
    <w:rsid w:val="00285D92"/>
    <w:rPr>
      <w:rFonts w:ascii="Arial" w:hAnsi="Arial"/>
      <w:sz w:val="24"/>
      <w:szCs w:val="24"/>
      <w:lang w:val="en-US" w:eastAsia="en-US"/>
    </w:rPr>
  </w:style>
  <w:style w:type="table" w:styleId="TableList4">
    <w:name w:val="Table List 4"/>
    <w:basedOn w:val="TableNormal"/>
    <w:rsid w:val="002A2FC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Revision">
    <w:name w:val="Revision"/>
    <w:hidden/>
    <w:uiPriority w:val="99"/>
    <w:semiHidden/>
    <w:rsid w:val="0064246A"/>
    <w:rPr>
      <w:rFonts w:ascii="Arial" w:hAnsi="Arial"/>
      <w:sz w:val="24"/>
      <w:lang w:eastAsia="en-US"/>
    </w:rPr>
  </w:style>
  <w:style w:type="paragraph" w:customStyle="1" w:styleId="ydp9eff9ea6yiv7856943775msonormal">
    <w:name w:val="ydp9eff9ea6yiv7856943775msonormal"/>
    <w:basedOn w:val="Normal"/>
    <w:rsid w:val="0077066E"/>
    <w:pPr>
      <w:spacing w:before="100" w:beforeAutospacing="1" w:after="100" w:afterAutospacing="1"/>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4813">
      <w:bodyDiv w:val="1"/>
      <w:marLeft w:val="0"/>
      <w:marRight w:val="0"/>
      <w:marTop w:val="0"/>
      <w:marBottom w:val="0"/>
      <w:divBdr>
        <w:top w:val="none" w:sz="0" w:space="0" w:color="auto"/>
        <w:left w:val="none" w:sz="0" w:space="0" w:color="auto"/>
        <w:bottom w:val="none" w:sz="0" w:space="0" w:color="auto"/>
        <w:right w:val="none" w:sz="0" w:space="0" w:color="auto"/>
      </w:divBdr>
    </w:div>
    <w:div w:id="90781911">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38543854">
      <w:bodyDiv w:val="1"/>
      <w:marLeft w:val="0"/>
      <w:marRight w:val="0"/>
      <w:marTop w:val="0"/>
      <w:marBottom w:val="0"/>
      <w:divBdr>
        <w:top w:val="none" w:sz="0" w:space="0" w:color="auto"/>
        <w:left w:val="none" w:sz="0" w:space="0" w:color="auto"/>
        <w:bottom w:val="none" w:sz="0" w:space="0" w:color="auto"/>
        <w:right w:val="none" w:sz="0" w:space="0" w:color="auto"/>
      </w:divBdr>
    </w:div>
    <w:div w:id="181551825">
      <w:bodyDiv w:val="1"/>
      <w:marLeft w:val="0"/>
      <w:marRight w:val="0"/>
      <w:marTop w:val="0"/>
      <w:marBottom w:val="0"/>
      <w:divBdr>
        <w:top w:val="none" w:sz="0" w:space="0" w:color="auto"/>
        <w:left w:val="none" w:sz="0" w:space="0" w:color="auto"/>
        <w:bottom w:val="none" w:sz="0" w:space="0" w:color="auto"/>
        <w:right w:val="none" w:sz="0" w:space="0" w:color="auto"/>
      </w:divBdr>
    </w:div>
    <w:div w:id="189270416">
      <w:bodyDiv w:val="1"/>
      <w:marLeft w:val="0"/>
      <w:marRight w:val="0"/>
      <w:marTop w:val="0"/>
      <w:marBottom w:val="0"/>
      <w:divBdr>
        <w:top w:val="none" w:sz="0" w:space="0" w:color="auto"/>
        <w:left w:val="none" w:sz="0" w:space="0" w:color="auto"/>
        <w:bottom w:val="none" w:sz="0" w:space="0" w:color="auto"/>
        <w:right w:val="none" w:sz="0" w:space="0" w:color="auto"/>
      </w:divBdr>
    </w:div>
    <w:div w:id="280038034">
      <w:bodyDiv w:val="1"/>
      <w:marLeft w:val="0"/>
      <w:marRight w:val="0"/>
      <w:marTop w:val="0"/>
      <w:marBottom w:val="0"/>
      <w:divBdr>
        <w:top w:val="none" w:sz="0" w:space="0" w:color="auto"/>
        <w:left w:val="none" w:sz="0" w:space="0" w:color="auto"/>
        <w:bottom w:val="none" w:sz="0" w:space="0" w:color="auto"/>
        <w:right w:val="none" w:sz="0" w:space="0" w:color="auto"/>
      </w:divBdr>
    </w:div>
    <w:div w:id="283972933">
      <w:bodyDiv w:val="1"/>
      <w:marLeft w:val="0"/>
      <w:marRight w:val="0"/>
      <w:marTop w:val="0"/>
      <w:marBottom w:val="0"/>
      <w:divBdr>
        <w:top w:val="none" w:sz="0" w:space="0" w:color="auto"/>
        <w:left w:val="none" w:sz="0" w:space="0" w:color="auto"/>
        <w:bottom w:val="none" w:sz="0" w:space="0" w:color="auto"/>
        <w:right w:val="none" w:sz="0" w:space="0" w:color="auto"/>
      </w:divBdr>
    </w:div>
    <w:div w:id="339087759">
      <w:bodyDiv w:val="1"/>
      <w:marLeft w:val="0"/>
      <w:marRight w:val="0"/>
      <w:marTop w:val="0"/>
      <w:marBottom w:val="0"/>
      <w:divBdr>
        <w:top w:val="none" w:sz="0" w:space="0" w:color="auto"/>
        <w:left w:val="none" w:sz="0" w:space="0" w:color="auto"/>
        <w:bottom w:val="none" w:sz="0" w:space="0" w:color="auto"/>
        <w:right w:val="none" w:sz="0" w:space="0" w:color="auto"/>
      </w:divBdr>
    </w:div>
    <w:div w:id="512182700">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33603304">
      <w:bodyDiv w:val="1"/>
      <w:marLeft w:val="0"/>
      <w:marRight w:val="0"/>
      <w:marTop w:val="0"/>
      <w:marBottom w:val="0"/>
      <w:divBdr>
        <w:top w:val="none" w:sz="0" w:space="0" w:color="auto"/>
        <w:left w:val="none" w:sz="0" w:space="0" w:color="auto"/>
        <w:bottom w:val="none" w:sz="0" w:space="0" w:color="auto"/>
        <w:right w:val="none" w:sz="0" w:space="0" w:color="auto"/>
      </w:divBdr>
    </w:div>
    <w:div w:id="650448831">
      <w:bodyDiv w:val="1"/>
      <w:marLeft w:val="0"/>
      <w:marRight w:val="0"/>
      <w:marTop w:val="0"/>
      <w:marBottom w:val="0"/>
      <w:divBdr>
        <w:top w:val="none" w:sz="0" w:space="0" w:color="auto"/>
        <w:left w:val="none" w:sz="0" w:space="0" w:color="auto"/>
        <w:bottom w:val="none" w:sz="0" w:space="0" w:color="auto"/>
        <w:right w:val="none" w:sz="0" w:space="0" w:color="auto"/>
      </w:divBdr>
    </w:div>
    <w:div w:id="651372530">
      <w:bodyDiv w:val="1"/>
      <w:marLeft w:val="0"/>
      <w:marRight w:val="0"/>
      <w:marTop w:val="0"/>
      <w:marBottom w:val="0"/>
      <w:divBdr>
        <w:top w:val="none" w:sz="0" w:space="0" w:color="auto"/>
        <w:left w:val="none" w:sz="0" w:space="0" w:color="auto"/>
        <w:bottom w:val="none" w:sz="0" w:space="0" w:color="auto"/>
        <w:right w:val="none" w:sz="0" w:space="0" w:color="auto"/>
      </w:divBdr>
    </w:div>
    <w:div w:id="669673893">
      <w:bodyDiv w:val="1"/>
      <w:marLeft w:val="0"/>
      <w:marRight w:val="0"/>
      <w:marTop w:val="0"/>
      <w:marBottom w:val="0"/>
      <w:divBdr>
        <w:top w:val="none" w:sz="0" w:space="0" w:color="auto"/>
        <w:left w:val="none" w:sz="0" w:space="0" w:color="auto"/>
        <w:bottom w:val="none" w:sz="0" w:space="0" w:color="auto"/>
        <w:right w:val="none" w:sz="0" w:space="0" w:color="auto"/>
      </w:divBdr>
    </w:div>
    <w:div w:id="718557552">
      <w:bodyDiv w:val="1"/>
      <w:marLeft w:val="0"/>
      <w:marRight w:val="0"/>
      <w:marTop w:val="0"/>
      <w:marBottom w:val="0"/>
      <w:divBdr>
        <w:top w:val="none" w:sz="0" w:space="0" w:color="auto"/>
        <w:left w:val="none" w:sz="0" w:space="0" w:color="auto"/>
        <w:bottom w:val="none" w:sz="0" w:space="0" w:color="auto"/>
        <w:right w:val="none" w:sz="0" w:space="0" w:color="auto"/>
      </w:divBdr>
    </w:div>
    <w:div w:id="741492295">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13835826">
      <w:bodyDiv w:val="1"/>
      <w:marLeft w:val="0"/>
      <w:marRight w:val="0"/>
      <w:marTop w:val="0"/>
      <w:marBottom w:val="0"/>
      <w:divBdr>
        <w:top w:val="none" w:sz="0" w:space="0" w:color="auto"/>
        <w:left w:val="none" w:sz="0" w:space="0" w:color="auto"/>
        <w:bottom w:val="none" w:sz="0" w:space="0" w:color="auto"/>
        <w:right w:val="none" w:sz="0" w:space="0" w:color="auto"/>
      </w:divBdr>
    </w:div>
    <w:div w:id="817767204">
      <w:bodyDiv w:val="1"/>
      <w:marLeft w:val="0"/>
      <w:marRight w:val="0"/>
      <w:marTop w:val="0"/>
      <w:marBottom w:val="0"/>
      <w:divBdr>
        <w:top w:val="none" w:sz="0" w:space="0" w:color="auto"/>
        <w:left w:val="none" w:sz="0" w:space="0" w:color="auto"/>
        <w:bottom w:val="none" w:sz="0" w:space="0" w:color="auto"/>
        <w:right w:val="none" w:sz="0" w:space="0" w:color="auto"/>
      </w:divBdr>
    </w:div>
    <w:div w:id="853231741">
      <w:bodyDiv w:val="1"/>
      <w:marLeft w:val="0"/>
      <w:marRight w:val="0"/>
      <w:marTop w:val="0"/>
      <w:marBottom w:val="0"/>
      <w:divBdr>
        <w:top w:val="none" w:sz="0" w:space="0" w:color="auto"/>
        <w:left w:val="none" w:sz="0" w:space="0" w:color="auto"/>
        <w:bottom w:val="none" w:sz="0" w:space="0" w:color="auto"/>
        <w:right w:val="none" w:sz="0" w:space="0" w:color="auto"/>
      </w:divBdr>
    </w:div>
    <w:div w:id="891578789">
      <w:bodyDiv w:val="1"/>
      <w:marLeft w:val="0"/>
      <w:marRight w:val="0"/>
      <w:marTop w:val="0"/>
      <w:marBottom w:val="0"/>
      <w:divBdr>
        <w:top w:val="none" w:sz="0" w:space="0" w:color="auto"/>
        <w:left w:val="none" w:sz="0" w:space="0" w:color="auto"/>
        <w:bottom w:val="none" w:sz="0" w:space="0" w:color="auto"/>
        <w:right w:val="none" w:sz="0" w:space="0" w:color="auto"/>
      </w:divBdr>
      <w:divsChild>
        <w:div w:id="94179484">
          <w:marLeft w:val="0"/>
          <w:marRight w:val="0"/>
          <w:marTop w:val="0"/>
          <w:marBottom w:val="0"/>
          <w:divBdr>
            <w:top w:val="none" w:sz="0" w:space="0" w:color="auto"/>
            <w:left w:val="none" w:sz="0" w:space="0" w:color="auto"/>
            <w:bottom w:val="none" w:sz="0" w:space="0" w:color="auto"/>
            <w:right w:val="none" w:sz="0" w:space="0" w:color="auto"/>
          </w:divBdr>
          <w:divsChild>
            <w:div w:id="938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31472172">
      <w:bodyDiv w:val="1"/>
      <w:marLeft w:val="0"/>
      <w:marRight w:val="0"/>
      <w:marTop w:val="0"/>
      <w:marBottom w:val="0"/>
      <w:divBdr>
        <w:top w:val="none" w:sz="0" w:space="0" w:color="auto"/>
        <w:left w:val="none" w:sz="0" w:space="0" w:color="auto"/>
        <w:bottom w:val="none" w:sz="0" w:space="0" w:color="auto"/>
        <w:right w:val="none" w:sz="0" w:space="0" w:color="auto"/>
      </w:divBdr>
    </w:div>
    <w:div w:id="942223013">
      <w:bodyDiv w:val="1"/>
      <w:marLeft w:val="0"/>
      <w:marRight w:val="0"/>
      <w:marTop w:val="0"/>
      <w:marBottom w:val="0"/>
      <w:divBdr>
        <w:top w:val="none" w:sz="0" w:space="0" w:color="auto"/>
        <w:left w:val="none" w:sz="0" w:space="0" w:color="auto"/>
        <w:bottom w:val="none" w:sz="0" w:space="0" w:color="auto"/>
        <w:right w:val="none" w:sz="0" w:space="0" w:color="auto"/>
      </w:divBdr>
    </w:div>
    <w:div w:id="956375609">
      <w:bodyDiv w:val="1"/>
      <w:marLeft w:val="0"/>
      <w:marRight w:val="0"/>
      <w:marTop w:val="0"/>
      <w:marBottom w:val="0"/>
      <w:divBdr>
        <w:top w:val="none" w:sz="0" w:space="0" w:color="auto"/>
        <w:left w:val="none" w:sz="0" w:space="0" w:color="auto"/>
        <w:bottom w:val="none" w:sz="0" w:space="0" w:color="auto"/>
        <w:right w:val="none" w:sz="0" w:space="0" w:color="auto"/>
      </w:divBdr>
    </w:div>
    <w:div w:id="966013460">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74023487">
      <w:bodyDiv w:val="1"/>
      <w:marLeft w:val="0"/>
      <w:marRight w:val="0"/>
      <w:marTop w:val="0"/>
      <w:marBottom w:val="0"/>
      <w:divBdr>
        <w:top w:val="none" w:sz="0" w:space="0" w:color="auto"/>
        <w:left w:val="none" w:sz="0" w:space="0" w:color="auto"/>
        <w:bottom w:val="none" w:sz="0" w:space="0" w:color="auto"/>
        <w:right w:val="none" w:sz="0" w:space="0" w:color="auto"/>
      </w:divBdr>
    </w:div>
    <w:div w:id="1011681243">
      <w:bodyDiv w:val="1"/>
      <w:marLeft w:val="0"/>
      <w:marRight w:val="0"/>
      <w:marTop w:val="0"/>
      <w:marBottom w:val="0"/>
      <w:divBdr>
        <w:top w:val="none" w:sz="0" w:space="0" w:color="auto"/>
        <w:left w:val="none" w:sz="0" w:space="0" w:color="auto"/>
        <w:bottom w:val="none" w:sz="0" w:space="0" w:color="auto"/>
        <w:right w:val="none" w:sz="0" w:space="0" w:color="auto"/>
      </w:divBdr>
    </w:div>
    <w:div w:id="1044676102">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2925896">
      <w:bodyDiv w:val="1"/>
      <w:marLeft w:val="0"/>
      <w:marRight w:val="0"/>
      <w:marTop w:val="0"/>
      <w:marBottom w:val="0"/>
      <w:divBdr>
        <w:top w:val="none" w:sz="0" w:space="0" w:color="auto"/>
        <w:left w:val="none" w:sz="0" w:space="0" w:color="auto"/>
        <w:bottom w:val="none" w:sz="0" w:space="0" w:color="auto"/>
        <w:right w:val="none" w:sz="0" w:space="0" w:color="auto"/>
      </w:divBdr>
    </w:div>
    <w:div w:id="1066997695">
      <w:bodyDiv w:val="1"/>
      <w:marLeft w:val="0"/>
      <w:marRight w:val="0"/>
      <w:marTop w:val="0"/>
      <w:marBottom w:val="0"/>
      <w:divBdr>
        <w:top w:val="none" w:sz="0" w:space="0" w:color="auto"/>
        <w:left w:val="none" w:sz="0" w:space="0" w:color="auto"/>
        <w:bottom w:val="none" w:sz="0" w:space="0" w:color="auto"/>
        <w:right w:val="none" w:sz="0" w:space="0" w:color="auto"/>
      </w:divBdr>
    </w:div>
    <w:div w:id="1100444981">
      <w:bodyDiv w:val="1"/>
      <w:marLeft w:val="0"/>
      <w:marRight w:val="0"/>
      <w:marTop w:val="0"/>
      <w:marBottom w:val="0"/>
      <w:divBdr>
        <w:top w:val="none" w:sz="0" w:space="0" w:color="auto"/>
        <w:left w:val="none" w:sz="0" w:space="0" w:color="auto"/>
        <w:bottom w:val="none" w:sz="0" w:space="0" w:color="auto"/>
        <w:right w:val="none" w:sz="0" w:space="0" w:color="auto"/>
      </w:divBdr>
    </w:div>
    <w:div w:id="1113674419">
      <w:bodyDiv w:val="1"/>
      <w:marLeft w:val="0"/>
      <w:marRight w:val="0"/>
      <w:marTop w:val="0"/>
      <w:marBottom w:val="0"/>
      <w:divBdr>
        <w:top w:val="none" w:sz="0" w:space="0" w:color="auto"/>
        <w:left w:val="none" w:sz="0" w:space="0" w:color="auto"/>
        <w:bottom w:val="none" w:sz="0" w:space="0" w:color="auto"/>
        <w:right w:val="none" w:sz="0" w:space="0" w:color="auto"/>
      </w:divBdr>
    </w:div>
    <w:div w:id="1118450846">
      <w:bodyDiv w:val="1"/>
      <w:marLeft w:val="0"/>
      <w:marRight w:val="0"/>
      <w:marTop w:val="0"/>
      <w:marBottom w:val="0"/>
      <w:divBdr>
        <w:top w:val="none" w:sz="0" w:space="0" w:color="auto"/>
        <w:left w:val="none" w:sz="0" w:space="0" w:color="auto"/>
        <w:bottom w:val="none" w:sz="0" w:space="0" w:color="auto"/>
        <w:right w:val="none" w:sz="0" w:space="0" w:color="auto"/>
      </w:divBdr>
    </w:div>
    <w:div w:id="1170952009">
      <w:bodyDiv w:val="1"/>
      <w:marLeft w:val="0"/>
      <w:marRight w:val="0"/>
      <w:marTop w:val="0"/>
      <w:marBottom w:val="0"/>
      <w:divBdr>
        <w:top w:val="none" w:sz="0" w:space="0" w:color="auto"/>
        <w:left w:val="none" w:sz="0" w:space="0" w:color="auto"/>
        <w:bottom w:val="none" w:sz="0" w:space="0" w:color="auto"/>
        <w:right w:val="none" w:sz="0" w:space="0" w:color="auto"/>
      </w:divBdr>
    </w:div>
    <w:div w:id="1223827216">
      <w:bodyDiv w:val="1"/>
      <w:marLeft w:val="0"/>
      <w:marRight w:val="0"/>
      <w:marTop w:val="0"/>
      <w:marBottom w:val="0"/>
      <w:divBdr>
        <w:top w:val="none" w:sz="0" w:space="0" w:color="auto"/>
        <w:left w:val="none" w:sz="0" w:space="0" w:color="auto"/>
        <w:bottom w:val="none" w:sz="0" w:space="0" w:color="auto"/>
        <w:right w:val="none" w:sz="0" w:space="0" w:color="auto"/>
      </w:divBdr>
    </w:div>
    <w:div w:id="1302273469">
      <w:bodyDiv w:val="1"/>
      <w:marLeft w:val="0"/>
      <w:marRight w:val="0"/>
      <w:marTop w:val="0"/>
      <w:marBottom w:val="0"/>
      <w:divBdr>
        <w:top w:val="none" w:sz="0" w:space="0" w:color="auto"/>
        <w:left w:val="none" w:sz="0" w:space="0" w:color="auto"/>
        <w:bottom w:val="none" w:sz="0" w:space="0" w:color="auto"/>
        <w:right w:val="none" w:sz="0" w:space="0" w:color="auto"/>
      </w:divBdr>
    </w:div>
    <w:div w:id="1302614827">
      <w:bodyDiv w:val="1"/>
      <w:marLeft w:val="0"/>
      <w:marRight w:val="0"/>
      <w:marTop w:val="0"/>
      <w:marBottom w:val="0"/>
      <w:divBdr>
        <w:top w:val="none" w:sz="0" w:space="0" w:color="auto"/>
        <w:left w:val="none" w:sz="0" w:space="0" w:color="auto"/>
        <w:bottom w:val="none" w:sz="0" w:space="0" w:color="auto"/>
        <w:right w:val="none" w:sz="0" w:space="0" w:color="auto"/>
      </w:divBdr>
    </w:div>
    <w:div w:id="1364091779">
      <w:bodyDiv w:val="1"/>
      <w:marLeft w:val="0"/>
      <w:marRight w:val="0"/>
      <w:marTop w:val="0"/>
      <w:marBottom w:val="0"/>
      <w:divBdr>
        <w:top w:val="none" w:sz="0" w:space="0" w:color="auto"/>
        <w:left w:val="none" w:sz="0" w:space="0" w:color="auto"/>
        <w:bottom w:val="none" w:sz="0" w:space="0" w:color="auto"/>
        <w:right w:val="none" w:sz="0" w:space="0" w:color="auto"/>
      </w:divBdr>
    </w:div>
    <w:div w:id="1382897895">
      <w:bodyDiv w:val="1"/>
      <w:marLeft w:val="0"/>
      <w:marRight w:val="0"/>
      <w:marTop w:val="0"/>
      <w:marBottom w:val="0"/>
      <w:divBdr>
        <w:top w:val="none" w:sz="0" w:space="0" w:color="auto"/>
        <w:left w:val="none" w:sz="0" w:space="0" w:color="auto"/>
        <w:bottom w:val="none" w:sz="0" w:space="0" w:color="auto"/>
        <w:right w:val="none" w:sz="0" w:space="0" w:color="auto"/>
      </w:divBdr>
    </w:div>
    <w:div w:id="1403677569">
      <w:bodyDiv w:val="1"/>
      <w:marLeft w:val="0"/>
      <w:marRight w:val="0"/>
      <w:marTop w:val="0"/>
      <w:marBottom w:val="0"/>
      <w:divBdr>
        <w:top w:val="none" w:sz="0" w:space="0" w:color="auto"/>
        <w:left w:val="none" w:sz="0" w:space="0" w:color="auto"/>
        <w:bottom w:val="none" w:sz="0" w:space="0" w:color="auto"/>
        <w:right w:val="none" w:sz="0" w:space="0" w:color="auto"/>
      </w:divBdr>
    </w:div>
    <w:div w:id="1421023489">
      <w:bodyDiv w:val="1"/>
      <w:marLeft w:val="0"/>
      <w:marRight w:val="0"/>
      <w:marTop w:val="0"/>
      <w:marBottom w:val="0"/>
      <w:divBdr>
        <w:top w:val="none" w:sz="0" w:space="0" w:color="auto"/>
        <w:left w:val="none" w:sz="0" w:space="0" w:color="auto"/>
        <w:bottom w:val="none" w:sz="0" w:space="0" w:color="auto"/>
        <w:right w:val="none" w:sz="0" w:space="0" w:color="auto"/>
      </w:divBdr>
    </w:div>
    <w:div w:id="1518423953">
      <w:bodyDiv w:val="1"/>
      <w:marLeft w:val="0"/>
      <w:marRight w:val="0"/>
      <w:marTop w:val="0"/>
      <w:marBottom w:val="0"/>
      <w:divBdr>
        <w:top w:val="none" w:sz="0" w:space="0" w:color="auto"/>
        <w:left w:val="none" w:sz="0" w:space="0" w:color="auto"/>
        <w:bottom w:val="none" w:sz="0" w:space="0" w:color="auto"/>
        <w:right w:val="none" w:sz="0" w:space="0" w:color="auto"/>
      </w:divBdr>
    </w:div>
    <w:div w:id="1527986833">
      <w:bodyDiv w:val="1"/>
      <w:marLeft w:val="0"/>
      <w:marRight w:val="0"/>
      <w:marTop w:val="0"/>
      <w:marBottom w:val="0"/>
      <w:divBdr>
        <w:top w:val="none" w:sz="0" w:space="0" w:color="auto"/>
        <w:left w:val="none" w:sz="0" w:space="0" w:color="auto"/>
        <w:bottom w:val="none" w:sz="0" w:space="0" w:color="auto"/>
        <w:right w:val="none" w:sz="0" w:space="0" w:color="auto"/>
      </w:divBdr>
    </w:div>
    <w:div w:id="1534923078">
      <w:bodyDiv w:val="1"/>
      <w:marLeft w:val="0"/>
      <w:marRight w:val="0"/>
      <w:marTop w:val="0"/>
      <w:marBottom w:val="0"/>
      <w:divBdr>
        <w:top w:val="none" w:sz="0" w:space="0" w:color="auto"/>
        <w:left w:val="none" w:sz="0" w:space="0" w:color="auto"/>
        <w:bottom w:val="none" w:sz="0" w:space="0" w:color="auto"/>
        <w:right w:val="none" w:sz="0" w:space="0" w:color="auto"/>
      </w:divBdr>
    </w:div>
    <w:div w:id="1575819651">
      <w:bodyDiv w:val="1"/>
      <w:marLeft w:val="0"/>
      <w:marRight w:val="0"/>
      <w:marTop w:val="0"/>
      <w:marBottom w:val="0"/>
      <w:divBdr>
        <w:top w:val="none" w:sz="0" w:space="0" w:color="auto"/>
        <w:left w:val="none" w:sz="0" w:space="0" w:color="auto"/>
        <w:bottom w:val="none" w:sz="0" w:space="0" w:color="auto"/>
        <w:right w:val="none" w:sz="0" w:space="0" w:color="auto"/>
      </w:divBdr>
    </w:div>
    <w:div w:id="1672829005">
      <w:bodyDiv w:val="1"/>
      <w:marLeft w:val="0"/>
      <w:marRight w:val="0"/>
      <w:marTop w:val="0"/>
      <w:marBottom w:val="0"/>
      <w:divBdr>
        <w:top w:val="none" w:sz="0" w:space="0" w:color="auto"/>
        <w:left w:val="none" w:sz="0" w:space="0" w:color="auto"/>
        <w:bottom w:val="none" w:sz="0" w:space="0" w:color="auto"/>
        <w:right w:val="none" w:sz="0" w:space="0" w:color="auto"/>
      </w:divBdr>
    </w:div>
    <w:div w:id="1692486950">
      <w:bodyDiv w:val="1"/>
      <w:marLeft w:val="0"/>
      <w:marRight w:val="0"/>
      <w:marTop w:val="0"/>
      <w:marBottom w:val="0"/>
      <w:divBdr>
        <w:top w:val="none" w:sz="0" w:space="0" w:color="auto"/>
        <w:left w:val="none" w:sz="0" w:space="0" w:color="auto"/>
        <w:bottom w:val="none" w:sz="0" w:space="0" w:color="auto"/>
        <w:right w:val="none" w:sz="0" w:space="0" w:color="auto"/>
      </w:divBdr>
    </w:div>
    <w:div w:id="1733890624">
      <w:bodyDiv w:val="1"/>
      <w:marLeft w:val="0"/>
      <w:marRight w:val="0"/>
      <w:marTop w:val="0"/>
      <w:marBottom w:val="0"/>
      <w:divBdr>
        <w:top w:val="none" w:sz="0" w:space="0" w:color="auto"/>
        <w:left w:val="none" w:sz="0" w:space="0" w:color="auto"/>
        <w:bottom w:val="none" w:sz="0" w:space="0" w:color="auto"/>
        <w:right w:val="none" w:sz="0" w:space="0" w:color="auto"/>
      </w:divBdr>
    </w:div>
    <w:div w:id="1741444445">
      <w:bodyDiv w:val="1"/>
      <w:marLeft w:val="0"/>
      <w:marRight w:val="0"/>
      <w:marTop w:val="0"/>
      <w:marBottom w:val="0"/>
      <w:divBdr>
        <w:top w:val="none" w:sz="0" w:space="0" w:color="auto"/>
        <w:left w:val="none" w:sz="0" w:space="0" w:color="auto"/>
        <w:bottom w:val="none" w:sz="0" w:space="0" w:color="auto"/>
        <w:right w:val="none" w:sz="0" w:space="0" w:color="auto"/>
      </w:divBdr>
    </w:div>
    <w:div w:id="1749693340">
      <w:bodyDiv w:val="1"/>
      <w:marLeft w:val="0"/>
      <w:marRight w:val="0"/>
      <w:marTop w:val="0"/>
      <w:marBottom w:val="0"/>
      <w:divBdr>
        <w:top w:val="none" w:sz="0" w:space="0" w:color="auto"/>
        <w:left w:val="none" w:sz="0" w:space="0" w:color="auto"/>
        <w:bottom w:val="none" w:sz="0" w:space="0" w:color="auto"/>
        <w:right w:val="none" w:sz="0" w:space="0" w:color="auto"/>
      </w:divBdr>
    </w:div>
    <w:div w:id="1761832937">
      <w:bodyDiv w:val="1"/>
      <w:marLeft w:val="0"/>
      <w:marRight w:val="0"/>
      <w:marTop w:val="0"/>
      <w:marBottom w:val="0"/>
      <w:divBdr>
        <w:top w:val="none" w:sz="0" w:space="0" w:color="auto"/>
        <w:left w:val="none" w:sz="0" w:space="0" w:color="auto"/>
        <w:bottom w:val="none" w:sz="0" w:space="0" w:color="auto"/>
        <w:right w:val="none" w:sz="0" w:space="0" w:color="auto"/>
      </w:divBdr>
    </w:div>
    <w:div w:id="1778482037">
      <w:bodyDiv w:val="1"/>
      <w:marLeft w:val="0"/>
      <w:marRight w:val="0"/>
      <w:marTop w:val="0"/>
      <w:marBottom w:val="0"/>
      <w:divBdr>
        <w:top w:val="none" w:sz="0" w:space="0" w:color="auto"/>
        <w:left w:val="none" w:sz="0" w:space="0" w:color="auto"/>
        <w:bottom w:val="none" w:sz="0" w:space="0" w:color="auto"/>
        <w:right w:val="none" w:sz="0" w:space="0" w:color="auto"/>
      </w:divBdr>
    </w:div>
    <w:div w:id="1861964535">
      <w:bodyDiv w:val="1"/>
      <w:marLeft w:val="0"/>
      <w:marRight w:val="0"/>
      <w:marTop w:val="0"/>
      <w:marBottom w:val="0"/>
      <w:divBdr>
        <w:top w:val="none" w:sz="0" w:space="0" w:color="auto"/>
        <w:left w:val="none" w:sz="0" w:space="0" w:color="auto"/>
        <w:bottom w:val="none" w:sz="0" w:space="0" w:color="auto"/>
        <w:right w:val="none" w:sz="0" w:space="0" w:color="auto"/>
      </w:divBdr>
    </w:div>
    <w:div w:id="1865745812">
      <w:bodyDiv w:val="1"/>
      <w:marLeft w:val="0"/>
      <w:marRight w:val="0"/>
      <w:marTop w:val="0"/>
      <w:marBottom w:val="0"/>
      <w:divBdr>
        <w:top w:val="none" w:sz="0" w:space="0" w:color="auto"/>
        <w:left w:val="none" w:sz="0" w:space="0" w:color="auto"/>
        <w:bottom w:val="none" w:sz="0" w:space="0" w:color="auto"/>
        <w:right w:val="none" w:sz="0" w:space="0" w:color="auto"/>
      </w:divBdr>
    </w:div>
    <w:div w:id="1882090078">
      <w:bodyDiv w:val="1"/>
      <w:marLeft w:val="0"/>
      <w:marRight w:val="0"/>
      <w:marTop w:val="0"/>
      <w:marBottom w:val="0"/>
      <w:divBdr>
        <w:top w:val="none" w:sz="0" w:space="0" w:color="auto"/>
        <w:left w:val="none" w:sz="0" w:space="0" w:color="auto"/>
        <w:bottom w:val="none" w:sz="0" w:space="0" w:color="auto"/>
        <w:right w:val="none" w:sz="0" w:space="0" w:color="auto"/>
      </w:divBdr>
    </w:div>
    <w:div w:id="1961494537">
      <w:bodyDiv w:val="1"/>
      <w:marLeft w:val="0"/>
      <w:marRight w:val="0"/>
      <w:marTop w:val="0"/>
      <w:marBottom w:val="0"/>
      <w:divBdr>
        <w:top w:val="none" w:sz="0" w:space="0" w:color="auto"/>
        <w:left w:val="none" w:sz="0" w:space="0" w:color="auto"/>
        <w:bottom w:val="none" w:sz="0" w:space="0" w:color="auto"/>
        <w:right w:val="none" w:sz="0" w:space="0" w:color="auto"/>
      </w:divBdr>
    </w:div>
    <w:div w:id="1987280259">
      <w:bodyDiv w:val="1"/>
      <w:marLeft w:val="0"/>
      <w:marRight w:val="0"/>
      <w:marTop w:val="0"/>
      <w:marBottom w:val="0"/>
      <w:divBdr>
        <w:top w:val="none" w:sz="0" w:space="0" w:color="auto"/>
        <w:left w:val="none" w:sz="0" w:space="0" w:color="auto"/>
        <w:bottom w:val="none" w:sz="0" w:space="0" w:color="auto"/>
        <w:right w:val="none" w:sz="0" w:space="0" w:color="auto"/>
      </w:divBdr>
    </w:div>
    <w:div w:id="1989047860">
      <w:bodyDiv w:val="1"/>
      <w:marLeft w:val="0"/>
      <w:marRight w:val="0"/>
      <w:marTop w:val="0"/>
      <w:marBottom w:val="0"/>
      <w:divBdr>
        <w:top w:val="none" w:sz="0" w:space="0" w:color="auto"/>
        <w:left w:val="none" w:sz="0" w:space="0" w:color="auto"/>
        <w:bottom w:val="none" w:sz="0" w:space="0" w:color="auto"/>
        <w:right w:val="none" w:sz="0" w:space="0" w:color="auto"/>
      </w:divBdr>
    </w:div>
    <w:div w:id="1994334796">
      <w:bodyDiv w:val="1"/>
      <w:marLeft w:val="0"/>
      <w:marRight w:val="0"/>
      <w:marTop w:val="0"/>
      <w:marBottom w:val="0"/>
      <w:divBdr>
        <w:top w:val="none" w:sz="0" w:space="0" w:color="auto"/>
        <w:left w:val="none" w:sz="0" w:space="0" w:color="auto"/>
        <w:bottom w:val="none" w:sz="0" w:space="0" w:color="auto"/>
        <w:right w:val="none" w:sz="0" w:space="0" w:color="auto"/>
      </w:divBdr>
    </w:div>
    <w:div w:id="2012834450">
      <w:bodyDiv w:val="1"/>
      <w:marLeft w:val="0"/>
      <w:marRight w:val="0"/>
      <w:marTop w:val="0"/>
      <w:marBottom w:val="0"/>
      <w:divBdr>
        <w:top w:val="none" w:sz="0" w:space="0" w:color="auto"/>
        <w:left w:val="none" w:sz="0" w:space="0" w:color="auto"/>
        <w:bottom w:val="none" w:sz="0" w:space="0" w:color="auto"/>
        <w:right w:val="none" w:sz="0" w:space="0" w:color="auto"/>
      </w:divBdr>
    </w:div>
    <w:div w:id="2032998489">
      <w:bodyDiv w:val="1"/>
      <w:marLeft w:val="0"/>
      <w:marRight w:val="0"/>
      <w:marTop w:val="0"/>
      <w:marBottom w:val="0"/>
      <w:divBdr>
        <w:top w:val="none" w:sz="0" w:space="0" w:color="auto"/>
        <w:left w:val="none" w:sz="0" w:space="0" w:color="auto"/>
        <w:bottom w:val="none" w:sz="0" w:space="0" w:color="auto"/>
        <w:right w:val="none" w:sz="0" w:space="0" w:color="auto"/>
      </w:divBdr>
    </w:div>
    <w:div w:id="2072846866">
      <w:bodyDiv w:val="1"/>
      <w:marLeft w:val="0"/>
      <w:marRight w:val="0"/>
      <w:marTop w:val="0"/>
      <w:marBottom w:val="0"/>
      <w:divBdr>
        <w:top w:val="none" w:sz="0" w:space="0" w:color="auto"/>
        <w:left w:val="none" w:sz="0" w:space="0" w:color="auto"/>
        <w:bottom w:val="none" w:sz="0" w:space="0" w:color="auto"/>
        <w:right w:val="none" w:sz="0" w:space="0" w:color="auto"/>
      </w:divBdr>
    </w:div>
    <w:div w:id="2121102340">
      <w:bodyDiv w:val="1"/>
      <w:marLeft w:val="0"/>
      <w:marRight w:val="0"/>
      <w:marTop w:val="0"/>
      <w:marBottom w:val="0"/>
      <w:divBdr>
        <w:top w:val="none" w:sz="0" w:space="0" w:color="auto"/>
        <w:left w:val="none" w:sz="0" w:space="0" w:color="auto"/>
        <w:bottom w:val="none" w:sz="0" w:space="0" w:color="auto"/>
        <w:right w:val="none" w:sz="0" w:space="0" w:color="auto"/>
      </w:divBdr>
    </w:div>
    <w:div w:id="21366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aul.walker@harrow.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buildingabetterharrow.co.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4" ma:contentTypeDescription="Create a new document." ma:contentTypeScope="" ma:versionID="a25f639964b250634a31153bad95370c">
  <xsd:schema xmlns:xsd="http://www.w3.org/2001/XMLSchema" xmlns:xs="http://www.w3.org/2001/XMLSchema" xmlns:p="http://schemas.microsoft.com/office/2006/metadata/properties" xmlns:ns3="c6bdeb93-2270-4bf7-9e85-6688a4728aea" targetNamespace="http://schemas.microsoft.com/office/2006/metadata/properties" ma:root="true" ma:fieldsID="6c4db4c2999c9f4f202a347f6acd181b" ns3:_="">
    <xsd:import namespace="c6bdeb93-2270-4bf7-9e85-6688a4728a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6DC3-0A87-46A2-BF65-BB91A6A90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c6bdeb93-2270-4bf7-9e85-6688a4728aea"/>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3B19A6B5-1DB9-4AE4-9FE9-A5211C01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9391</Words>
  <Characters>51508</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60778</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Kiran Lota</dc:creator>
  <cp:keywords>Cabinet Report Template</cp:keywords>
  <cp:lastModifiedBy>NNikolov</cp:lastModifiedBy>
  <cp:revision>3</cp:revision>
  <cp:lastPrinted>2020-03-05T15:49:00Z</cp:lastPrinted>
  <dcterms:created xsi:type="dcterms:W3CDTF">2020-07-01T08:57:00Z</dcterms:created>
  <dcterms:modified xsi:type="dcterms:W3CDTF">2020-07-01T12:57:00Z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265;#Cabinet Report Template|b79b58f4-03f4-47dd-bec7-7bae4bc4af23</vt:lpwstr>
  </property>
</Properties>
</file>